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5633A7B7" w14:textId="77777777" w:rsidR="00870A24" w:rsidRDefault="00870A24" w:rsidP="00F72D28">
          <w:pPr>
            <w:pStyle w:val="Title"/>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le"/>
          </w:pPr>
        </w:p>
        <w:p w14:paraId="01438AE1" w14:textId="052010EB" w:rsidR="00563C1F" w:rsidRDefault="00EC6066" w:rsidP="00F72D28">
          <w:pPr>
            <w:pStyle w:val="Title"/>
          </w:pPr>
          <w:r>
            <w:t xml:space="preserve">Reply </w:t>
          </w:r>
          <w:r w:rsidR="00DD03DC">
            <w:t>F</w:t>
          </w:r>
          <w:r>
            <w:t>orm</w:t>
          </w:r>
        </w:p>
        <w:p w14:paraId="031F2108" w14:textId="25611ECB" w:rsidR="007E7997" w:rsidRPr="00C01571" w:rsidRDefault="00D77369" w:rsidP="00D77369">
          <w:pPr>
            <w:pStyle w:val="Subtitl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710C2"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w:t>
          </w:r>
          <w:r w:rsidR="00B7619F" w:rsidRPr="00B7619F">
            <w:rPr>
              <w:rFonts w:cs="Arial"/>
              <w:b/>
              <w:sz w:val="36"/>
              <w:szCs w:val="36"/>
            </w:rPr>
            <w:t>on MAR Guidelines on delay in the disclosure of inside information</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590184E2" w:rsidR="002533FC" w:rsidRPr="005B6B12" w:rsidRDefault="002533FC" w:rsidP="002533FC">
          <w:r w:rsidRPr="005B6B12">
            <w:t xml:space="preserve">ESMA will consider all comments received by </w:t>
          </w:r>
          <w:r w:rsidR="00CE6AAF">
            <w:rPr>
              <w:b/>
              <w:bCs/>
              <w:color w:val="auto"/>
            </w:rPr>
            <w:t>29</w:t>
          </w:r>
          <w:r w:rsidR="4A420E9D" w:rsidRPr="1768F097">
            <w:rPr>
              <w:b/>
              <w:bCs/>
              <w:color w:val="auto"/>
            </w:rPr>
            <w:t xml:space="preserve"> </w:t>
          </w:r>
          <w:r w:rsidR="00B7619F">
            <w:rPr>
              <w:b/>
              <w:bCs/>
              <w:color w:val="auto"/>
            </w:rPr>
            <w:t>April</w:t>
          </w:r>
          <w:r w:rsidR="0029727F" w:rsidRPr="1768F097">
            <w:rPr>
              <w:b/>
              <w:color w:val="auto"/>
            </w:rPr>
            <w:t xml:space="preserve"> 202</w:t>
          </w:r>
          <w:r w:rsidR="00B7619F">
            <w:rPr>
              <w:b/>
              <w:color w:val="auto"/>
            </w:rPr>
            <w:t>6</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09AFA9E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392A82">
            <w:rPr>
              <w:bCs/>
            </w:rPr>
            <w:t>CPIL</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5E878BA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B7619F">
            <w:rPr>
              <w:bCs/>
            </w:rPr>
            <w:t>MARG</w:t>
          </w:r>
          <w:r w:rsidRPr="00C5469A">
            <w:rPr>
              <w:bCs/>
            </w:rPr>
            <w:t xml:space="preserve">_nameofrespondent. </w:t>
          </w:r>
        </w:p>
        <w:p w14:paraId="210BE93A" w14:textId="0B383895"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B7619F">
            <w:rPr>
              <w:bCs/>
            </w:rPr>
            <w:t>MARG</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2A3A1E89" w:rsidR="005171FF" w:rsidRDefault="00B7619F">
      <w:pPr>
        <w:spacing w:after="120" w:line="264" w:lineRule="auto"/>
        <w:jc w:val="left"/>
        <w:rPr>
          <w:rFonts w:asciiTheme="majorHAnsi" w:eastAsiaTheme="majorEastAsia" w:hAnsiTheme="majorHAnsi" w:cstheme="majorBidi"/>
          <w:sz w:val="28"/>
          <w:szCs w:val="24"/>
          <w:highlight w:val="yellow"/>
        </w:rPr>
      </w:pPr>
      <w:r w:rsidRPr="00B7619F">
        <w:t xml:space="preserve">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Content>
            <w:tc>
              <w:tcPr>
                <w:tcW w:w="4531" w:type="dxa"/>
              </w:tcPr>
              <w:p w14:paraId="76683ED7" w14:textId="737977A3" w:rsidR="00635BCA" w:rsidRPr="00557BD2" w:rsidRDefault="00A027A1" w:rsidP="00D21C35">
                <w:r>
                  <w:t>EuropeanIssuers</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ssuer (SME)" w:value="Issuer (SME)"/>
              <w:listItem w:displayText="Issuer (Other than SME)" w:value="Issuer (Other than SME)"/>
              <w:listItem w:displayText="Trading Venue" w:value="Trading Venue"/>
              <w:listItem w:displayText="Trade Association" w:value="Trade Association"/>
              <w:listItem w:displayText="Retail investor" w:value="Retail investor"/>
              <w:listItem w:displayText="Institutional investor" w:value="Institutional investor"/>
              <w:listItem w:displayText="Public authority" w:value="Public authority"/>
              <w:listItem w:displayText="Consultant" w:value="Consultant"/>
              <w:listItem w:displayText="Academic" w:value="Academic"/>
              <w:listItem w:displayText="Other" w:value="Other"/>
            </w:comboBox>
          </w:sdtPr>
          <w:sdtContent>
            <w:tc>
              <w:tcPr>
                <w:tcW w:w="4531" w:type="dxa"/>
              </w:tcPr>
              <w:p w14:paraId="1185A96B" w14:textId="28C475C7" w:rsidR="00B17279" w:rsidRDefault="00A027A1" w:rsidP="00B17279">
                <w:r>
                  <w:t>Issuer (Other than SME)</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Content>
            <w:permStart w:id="401478327" w:edGrp="everyone" w:displacedByCustomXml="prev"/>
            <w:tc>
              <w:tcPr>
                <w:tcW w:w="4531" w:type="dxa"/>
              </w:tcPr>
              <w:p w14:paraId="10359AFE" w14:textId="223A96E3" w:rsidR="00B17279" w:rsidRDefault="00A027A1" w:rsidP="00B17279">
                <w:r>
                  <w:rPr>
                    <w:rFonts w:ascii="MS Gothic" w:eastAsia="MS Gothic" w:hAnsi="MS Gothic" w:hint="eastAsia"/>
                  </w:rPr>
                  <w:t>☒</w:t>
                </w:r>
              </w:p>
            </w:tc>
            <w:permEnd w:id="401478327"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104175425" w:edGrp="everyone" w:displacedByCustomXml="prev"/>
            <w:tc>
              <w:tcPr>
                <w:tcW w:w="4531" w:type="dxa"/>
              </w:tcPr>
              <w:p w14:paraId="6A619B85" w14:textId="1ED354F7" w:rsidR="00B17279" w:rsidRPr="00557BD2" w:rsidRDefault="00A027A1" w:rsidP="00B17279">
                <w:r>
                  <w:t>Europe</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Heading1"/>
        <w:rPr>
          <w:lang w:val="fr-BE"/>
        </w:rPr>
      </w:pPr>
      <w:r w:rsidRPr="00557BD2">
        <w:rPr>
          <w:lang w:val="fr-BE"/>
        </w:rPr>
        <w:t>Questions</w:t>
      </w:r>
    </w:p>
    <w:p w14:paraId="6C4AF3A4" w14:textId="5552F956"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Do you see merits in maintaining the legitimate interest currently described in point b of Guideline 1 (i.e possibility for the issuer to delay the disclosure of its financial situation, where an immediate publication may jeopardise the measures to reestablish its viability)? Please indicate the arguments supporting your answer.</w:t>
      </w:r>
      <w:r w:rsidR="00392A82" w:rsidRPr="00392A82">
        <w:t xml:space="preserve"> </w:t>
      </w:r>
      <w:r w:rsidR="009B1E21" w:rsidRPr="008605FA">
        <w:t xml:space="preserve"> </w:t>
      </w:r>
    </w:p>
    <w:p w14:paraId="1271C14F" w14:textId="48036C02" w:rsidR="009B1E21" w:rsidRDefault="009B1E21" w:rsidP="009B1E21">
      <w:r>
        <w:t>&lt;ESMA_QUESTION_</w:t>
      </w:r>
      <w:r w:rsidR="00B7619F">
        <w:t>MARG</w:t>
      </w:r>
      <w:r>
        <w:t>_1&gt;</w:t>
      </w:r>
    </w:p>
    <w:p w14:paraId="4D42EBDD" w14:textId="77777777" w:rsidR="00A027A1" w:rsidRPr="00BE3FA1" w:rsidRDefault="00A027A1" w:rsidP="00A027A1">
      <w:pPr>
        <w:spacing w:after="200" w:line="320" w:lineRule="exact"/>
        <w:rPr>
          <w:rFonts w:ascii="Calibri" w:eastAsia="Calibri" w:hAnsi="Calibri" w:cs="Calibri"/>
          <w:color w:val="000000"/>
          <w:szCs w:val="22"/>
        </w:rPr>
      </w:pPr>
      <w:permStart w:id="627510576" w:edGrp="everyone"/>
      <w:r w:rsidRPr="00BE3FA1">
        <w:rPr>
          <w:rFonts w:ascii="Calibri" w:eastAsia="Calibri" w:hAnsi="Calibri" w:cs="Calibri"/>
          <w:color w:val="000000"/>
          <w:szCs w:val="22"/>
        </w:rPr>
        <w:t>EuropeanIssuers aims to provide its contribution to the ESMA Consultation Paper on MAR Guidelines on delay in the disclosure of inside information.</w:t>
      </w:r>
    </w:p>
    <w:p w14:paraId="1B5F5A80" w14:textId="77777777" w:rsidR="00A027A1" w:rsidRPr="00BE3FA1" w:rsidRDefault="00A027A1" w:rsidP="00A027A1">
      <w:pPr>
        <w:spacing w:after="200" w:line="320" w:lineRule="exact"/>
        <w:rPr>
          <w:rFonts w:ascii="Calibri" w:eastAsia="Calibri" w:hAnsi="Calibri" w:cs="Calibri"/>
          <w:color w:val="000000"/>
          <w:szCs w:val="22"/>
        </w:rPr>
      </w:pPr>
      <w:r w:rsidRPr="00BE3FA1">
        <w:rPr>
          <w:rFonts w:ascii="Calibri" w:eastAsia="Calibri" w:hAnsi="Calibri" w:cs="Calibri"/>
          <w:color w:val="000000"/>
          <w:szCs w:val="22"/>
        </w:rPr>
        <w:t>Regarding Q1, we would support maintaining the legitimate interest currently described in point b) of Guideline 1 (</w:t>
      </w:r>
      <w:proofErr w:type="spellStart"/>
      <w:r w:rsidRPr="00BE3FA1">
        <w:rPr>
          <w:rFonts w:ascii="Calibri" w:eastAsia="Calibri" w:hAnsi="Calibri" w:cs="Calibri"/>
          <w:color w:val="000000"/>
          <w:szCs w:val="22"/>
        </w:rPr>
        <w:t>i.e</w:t>
      </w:r>
      <w:proofErr w:type="spellEnd"/>
      <w:r w:rsidRPr="00BE3FA1">
        <w:rPr>
          <w:rFonts w:ascii="Calibri" w:eastAsia="Calibri" w:hAnsi="Calibri" w:cs="Calibri"/>
          <w:color w:val="000000"/>
          <w:szCs w:val="22"/>
        </w:rPr>
        <w:t xml:space="preserve"> possibility for the issuer to delay the disclosure of its financial situation, even though not within the scope of the applicable insolvency law, where an immediate publication may jeopardise the measures to reestablish its viability).</w:t>
      </w:r>
    </w:p>
    <w:p w14:paraId="341F927A" w14:textId="77777777" w:rsidR="00A027A1" w:rsidRPr="00BE3FA1" w:rsidRDefault="00A027A1" w:rsidP="00A027A1">
      <w:pPr>
        <w:spacing w:after="200" w:line="320" w:lineRule="exact"/>
        <w:rPr>
          <w:rFonts w:ascii="Calibri" w:eastAsia="Calibri" w:hAnsi="Calibri" w:cs="Calibri"/>
          <w:color w:val="000000"/>
          <w:szCs w:val="22"/>
        </w:rPr>
      </w:pPr>
      <w:r w:rsidRPr="00BE3FA1">
        <w:rPr>
          <w:rFonts w:ascii="Calibri" w:eastAsia="Calibri" w:hAnsi="Calibri" w:cs="Calibri"/>
          <w:color w:val="000000"/>
          <w:szCs w:val="22"/>
        </w:rPr>
        <w:t>As illustrated in the Consultation Paper, it may be necessary to delay the publication of inside information where financial viability could be restored through a series of actions, such as loans, bond issuances or asset sales. This appears to refer to a pre-insolvency situation, whereas the list of final events in the Commission Delegated Regulation of 8 April 2026 supplementing Regulation (EU) No 596/2014, as regards the disclosure of inside information in protracted processes and the delay of disclosures, relates more to formal proceedings.</w:t>
      </w:r>
    </w:p>
    <w:permEnd w:id="627510576"/>
    <w:p w14:paraId="0D7538F4" w14:textId="137F5526" w:rsidR="009B1E21" w:rsidRDefault="009B1E21" w:rsidP="009B1E21">
      <w:r>
        <w:t>&lt;ESMA_QUESTION_</w:t>
      </w:r>
      <w:r w:rsidR="00B7619F" w:rsidRPr="00B7619F">
        <w:t xml:space="preserve"> </w:t>
      </w:r>
      <w:r w:rsidR="00B7619F">
        <w:t>MARG</w:t>
      </w:r>
      <w:r>
        <w:t>_1&gt;</w:t>
      </w:r>
    </w:p>
    <w:p w14:paraId="6516A674" w14:textId="77777777" w:rsidR="009B1E21" w:rsidRDefault="009B1E21" w:rsidP="009B1E21"/>
    <w:p w14:paraId="30FCAAB9" w14:textId="4CA53439"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lastRenderedPageBreak/>
        <w:t>What is your view on the legitimate interest which are proposed to be added to the MAR Guidelines? When commenting on a specific legitimate interest, please report in your answer the title as given in the relevant subsection.</w:t>
      </w:r>
      <w:r w:rsidR="00392A82" w:rsidRPr="00392A82">
        <w:t xml:space="preserve"> </w:t>
      </w:r>
    </w:p>
    <w:p w14:paraId="682E5B57" w14:textId="333DE037" w:rsidR="009B1E21" w:rsidRDefault="009B1E21" w:rsidP="009B1E21">
      <w:r>
        <w:t>&lt;ESMA_QUESTION_</w:t>
      </w:r>
      <w:r w:rsidR="00392A82" w:rsidRPr="00392A82">
        <w:t xml:space="preserve"> </w:t>
      </w:r>
      <w:r w:rsidR="00B7619F">
        <w:t>MARG</w:t>
      </w:r>
      <w:r>
        <w:t>_2&gt;</w:t>
      </w:r>
    </w:p>
    <w:p w14:paraId="38AC2FFB" w14:textId="77777777" w:rsidR="00A027A1" w:rsidRPr="00BE3FA1" w:rsidRDefault="00A027A1" w:rsidP="00A027A1">
      <w:pPr>
        <w:autoSpaceDE w:val="0"/>
        <w:autoSpaceDN w:val="0"/>
        <w:adjustRightInd w:val="0"/>
        <w:spacing w:before="160" w:afterLines="200" w:after="480" w:line="320" w:lineRule="exact"/>
        <w:rPr>
          <w:rFonts w:ascii="Calibri" w:hAnsi="Calibri" w:cs="Calibri"/>
          <w:color w:val="000000"/>
          <w:szCs w:val="22"/>
        </w:rPr>
      </w:pPr>
      <w:permStart w:id="55053902" w:edGrp="everyone"/>
      <w:r w:rsidRPr="00BE3FA1">
        <w:rPr>
          <w:rFonts w:ascii="Calibri" w:hAnsi="Calibri" w:cs="Calibri"/>
          <w:color w:val="000000"/>
          <w:szCs w:val="22"/>
        </w:rPr>
        <w:t>Before answering Question 2, EuropeanIssuers would like to make three general considerations regarding the ESMA</w:t>
      </w:r>
      <w:r>
        <w:rPr>
          <w:rFonts w:ascii="Calibri" w:hAnsi="Calibri" w:cs="Calibri"/>
          <w:color w:val="000000"/>
          <w:szCs w:val="22"/>
        </w:rPr>
        <w:t xml:space="preserve"> draft</w:t>
      </w:r>
      <w:r w:rsidRPr="00BE3FA1">
        <w:rPr>
          <w:rFonts w:ascii="Calibri" w:hAnsi="Calibri" w:cs="Calibri"/>
          <w:color w:val="000000"/>
          <w:szCs w:val="22"/>
        </w:rPr>
        <w:t xml:space="preserve"> Guidelines</w:t>
      </w:r>
      <w:r>
        <w:rPr>
          <w:rFonts w:ascii="Calibri" w:hAnsi="Calibri" w:cs="Calibri"/>
          <w:color w:val="000000"/>
          <w:szCs w:val="22"/>
        </w:rPr>
        <w:t xml:space="preserve"> that should be recalled in the final text</w:t>
      </w:r>
      <w:r w:rsidRPr="00BE3FA1">
        <w:rPr>
          <w:rFonts w:ascii="Calibri" w:hAnsi="Calibri" w:cs="Calibri"/>
          <w:color w:val="000000"/>
          <w:szCs w:val="22"/>
        </w:rPr>
        <w:t>:</w:t>
      </w:r>
    </w:p>
    <w:p w14:paraId="40B988E6" w14:textId="77777777" w:rsidR="00A027A1" w:rsidRDefault="00A027A1" w:rsidP="00A027A1">
      <w:pPr>
        <w:numPr>
          <w:ilvl w:val="0"/>
          <w:numId w:val="17"/>
        </w:numPr>
        <w:autoSpaceDE w:val="0"/>
        <w:autoSpaceDN w:val="0"/>
        <w:adjustRightInd w:val="0"/>
        <w:spacing w:before="160" w:afterLines="200" w:after="480" w:line="320" w:lineRule="exact"/>
        <w:rPr>
          <w:rFonts w:ascii="Calibri" w:hAnsi="Calibri" w:cs="Calibri"/>
          <w:color w:val="000000"/>
          <w:szCs w:val="22"/>
        </w:rPr>
      </w:pPr>
      <w:r w:rsidRPr="00BE3FA1">
        <w:rPr>
          <w:rFonts w:ascii="Calibri" w:hAnsi="Calibri" w:cs="Calibri"/>
          <w:color w:val="000000"/>
          <w:szCs w:val="22"/>
        </w:rPr>
        <w:t xml:space="preserve">The specific situations listed in the MAR Guidelines should be regarded as purely indicative and non-exhaustive. </w:t>
      </w:r>
    </w:p>
    <w:p w14:paraId="28C5BBCB" w14:textId="77777777" w:rsidR="00A027A1" w:rsidRDefault="00A027A1" w:rsidP="00A027A1">
      <w:pPr>
        <w:numPr>
          <w:ilvl w:val="0"/>
          <w:numId w:val="17"/>
        </w:numPr>
        <w:autoSpaceDE w:val="0"/>
        <w:autoSpaceDN w:val="0"/>
        <w:adjustRightInd w:val="0"/>
        <w:spacing w:before="160" w:afterLines="200" w:after="480" w:line="320" w:lineRule="exact"/>
        <w:rPr>
          <w:rFonts w:ascii="Calibri" w:hAnsi="Calibri" w:cs="Calibri"/>
          <w:color w:val="000000"/>
          <w:szCs w:val="22"/>
        </w:rPr>
      </w:pPr>
      <w:r w:rsidRPr="00BE3FA1">
        <w:rPr>
          <w:rFonts w:ascii="Calibri" w:hAnsi="Calibri" w:cs="Calibri"/>
          <w:color w:val="000000"/>
          <w:szCs w:val="22"/>
        </w:rPr>
        <w:t xml:space="preserve">It remains the issuer’s responsibility, pursuant to Article 17(4) MAR, to assess whether a delay is justified </w:t>
      </w:r>
      <w:proofErr w:type="gramStart"/>
      <w:r w:rsidRPr="00BE3FA1">
        <w:rPr>
          <w:rFonts w:ascii="Calibri" w:hAnsi="Calibri" w:cs="Calibri"/>
          <w:color w:val="000000"/>
          <w:szCs w:val="22"/>
        </w:rPr>
        <w:t>in light of</w:t>
      </w:r>
      <w:proofErr w:type="gramEnd"/>
      <w:r w:rsidRPr="00BE3FA1">
        <w:rPr>
          <w:rFonts w:ascii="Calibri" w:hAnsi="Calibri" w:cs="Calibri"/>
          <w:color w:val="000000"/>
          <w:szCs w:val="22"/>
        </w:rPr>
        <w:t xml:space="preserve"> the specific circumstances of each case, without being constrained by a narrow reading of the examples set out in the Guidelines. A legitimate interest to delay the disclosure of inside information exists whenever immediate disclosure would be likely to prejudice the issuer’s ability to protect or pursue a lawful objective, provided that the delay is necessary and proportionate to safeguard that objective, the issuer’s communication is not in contradiction with its last public announcement, and the issuer is able to ensure the confidentiality of the inside information during the period of delay. </w:t>
      </w:r>
    </w:p>
    <w:p w14:paraId="44C2253A" w14:textId="77777777" w:rsidR="00A027A1" w:rsidRPr="00BE3FA1" w:rsidRDefault="00A027A1" w:rsidP="00A027A1">
      <w:pPr>
        <w:numPr>
          <w:ilvl w:val="0"/>
          <w:numId w:val="17"/>
        </w:numPr>
        <w:autoSpaceDE w:val="0"/>
        <w:autoSpaceDN w:val="0"/>
        <w:adjustRightInd w:val="0"/>
        <w:spacing w:before="160" w:afterLines="200" w:after="480" w:line="320" w:lineRule="exact"/>
        <w:rPr>
          <w:rFonts w:ascii="Calibri" w:hAnsi="Calibri" w:cs="Calibri"/>
          <w:color w:val="000000"/>
          <w:szCs w:val="22"/>
        </w:rPr>
      </w:pPr>
      <w:r w:rsidRPr="00BE3FA1">
        <w:rPr>
          <w:rFonts w:ascii="Calibri" w:hAnsi="Calibri" w:cs="Calibri"/>
          <w:color w:val="000000"/>
          <w:szCs w:val="22"/>
        </w:rPr>
        <w:t>The examples of legitimate interests cited by ESMA do not necessarily constitute cases of inside information, and it is ultimately for the issuer to determine whether a given piece of information qualifies as inside information.</w:t>
      </w:r>
    </w:p>
    <w:p w14:paraId="671AEAAC" w14:textId="77777777" w:rsidR="00A027A1" w:rsidRPr="00BE3FA1" w:rsidRDefault="00A027A1" w:rsidP="00A027A1">
      <w:pPr>
        <w:autoSpaceDE w:val="0"/>
        <w:autoSpaceDN w:val="0"/>
        <w:adjustRightInd w:val="0"/>
        <w:spacing w:before="160" w:afterLines="200" w:after="480" w:line="320" w:lineRule="exact"/>
        <w:rPr>
          <w:rFonts w:ascii="Calibri" w:hAnsi="Calibri" w:cs="Calibri"/>
          <w:szCs w:val="22"/>
        </w:rPr>
      </w:pPr>
      <w:r w:rsidRPr="00BE3FA1">
        <w:rPr>
          <w:rFonts w:ascii="Calibri" w:hAnsi="Calibri" w:cs="Calibri"/>
          <w:color w:val="000000"/>
          <w:szCs w:val="22"/>
        </w:rPr>
        <w:t>Coming to Question 2, for background ESMA proposes new situations of legitimate interests and namely: a) orders by a public Authority to maintain confidentiality; b) need to collect information on the event or the circumstances to be disclosed; c) risk to lose a business opportunity when participating in parallel procurement processes or in the conclusion of private negotiations.</w:t>
      </w:r>
      <w:r w:rsidRPr="00BE3FA1">
        <w:rPr>
          <w:rFonts w:ascii="Calibri" w:hAnsi="Calibri" w:cs="Calibri"/>
          <w:szCs w:val="22"/>
        </w:rPr>
        <w:t xml:space="preserve"> </w:t>
      </w:r>
    </w:p>
    <w:p w14:paraId="0EA9C911" w14:textId="77777777" w:rsidR="00A027A1" w:rsidRPr="00A027A1" w:rsidRDefault="00A027A1" w:rsidP="00A027A1">
      <w:pPr>
        <w:pStyle w:val="ListParagraph"/>
        <w:numPr>
          <w:ilvl w:val="0"/>
          <w:numId w:val="19"/>
        </w:numPr>
        <w:spacing w:before="160" w:after="0"/>
        <w:contextualSpacing/>
        <w:rPr>
          <w:rFonts w:ascii="Calibri" w:hAnsi="Calibri" w:cs="Calibri"/>
          <w:lang w:val="en-GB"/>
        </w:rPr>
      </w:pPr>
      <w:r w:rsidRPr="00A027A1">
        <w:rPr>
          <w:rFonts w:ascii="Calibri" w:hAnsi="Calibri" w:cs="Calibri"/>
          <w:color w:val="000000"/>
          <w:u w:val="single"/>
          <w:lang w:val="en-GB"/>
        </w:rPr>
        <w:t>Regarding letter a):</w:t>
      </w:r>
      <w:r w:rsidRPr="00A027A1">
        <w:rPr>
          <w:rFonts w:ascii="Calibri" w:hAnsi="Calibri" w:cs="Calibri"/>
          <w:color w:val="000000"/>
          <w:lang w:val="en-GB"/>
        </w:rPr>
        <w:t xml:space="preserve"> </w:t>
      </w:r>
      <w:r w:rsidRPr="007C44C2">
        <w:rPr>
          <w:rFonts w:ascii="Calibri" w:hAnsi="Calibri" w:cs="Calibri"/>
          <w:lang w:val="en-US"/>
        </w:rPr>
        <w:t>from European Issuers’ point of view there is no doubt that an issuer who receives an order from a public authority must comply with it. However, ESMAs’ clarification in that respect is helpful, so that issuer will have no trouble explaining that he did not violate any rules and that he was simply complying with an order from a public authority.</w:t>
      </w:r>
    </w:p>
    <w:p w14:paraId="229338F7" w14:textId="77777777" w:rsidR="00A027A1" w:rsidRPr="00701498" w:rsidRDefault="00A027A1" w:rsidP="00A027A1">
      <w:pPr>
        <w:autoSpaceDE w:val="0"/>
        <w:autoSpaceDN w:val="0"/>
        <w:adjustRightInd w:val="0"/>
        <w:spacing w:before="160" w:afterLines="200" w:after="480" w:line="320" w:lineRule="exact"/>
        <w:ind w:left="708"/>
        <w:rPr>
          <w:rFonts w:ascii="Calibri" w:hAnsi="Calibri" w:cs="Calibri"/>
          <w:color w:val="000000"/>
          <w:szCs w:val="22"/>
          <w:lang w:val="en-US"/>
        </w:rPr>
      </w:pPr>
      <w:r w:rsidRPr="00701498">
        <w:rPr>
          <w:rFonts w:ascii="Calibri" w:hAnsi="Calibri" w:cs="Calibri"/>
          <w:color w:val="000000"/>
          <w:szCs w:val="22"/>
        </w:rPr>
        <w:lastRenderedPageBreak/>
        <w:t>However, EuropeanIssuers would like ESMA to consider to also include the case of statutory confidential obligations under a foreign legal system as the situation is quite similar to the one already described by ESMA</w:t>
      </w:r>
      <w:r w:rsidRPr="00701498">
        <w:rPr>
          <w:rFonts w:ascii="Calibri" w:hAnsi="Calibri" w:cs="Calibri"/>
          <w:color w:val="auto"/>
          <w:szCs w:val="22"/>
        </w:rPr>
        <w:t xml:space="preserve"> where</w:t>
      </w:r>
      <w:r>
        <w:rPr>
          <w:rFonts w:ascii="Calibri" w:hAnsi="Calibri" w:cs="Calibri"/>
          <w:color w:val="auto"/>
          <w:szCs w:val="22"/>
        </w:rPr>
        <w:t>,</w:t>
      </w:r>
      <w:r w:rsidRPr="00701498">
        <w:rPr>
          <w:rFonts w:ascii="Calibri" w:hAnsi="Calibri" w:cs="Calibri"/>
          <w:color w:val="auto"/>
          <w:szCs w:val="22"/>
        </w:rPr>
        <w:t xml:space="preserve"> for example</w:t>
      </w:r>
      <w:r>
        <w:rPr>
          <w:rFonts w:ascii="Calibri" w:hAnsi="Calibri" w:cs="Calibri"/>
          <w:color w:val="auto"/>
          <w:szCs w:val="22"/>
        </w:rPr>
        <w:t>,</w:t>
      </w:r>
      <w:r w:rsidRPr="00701498">
        <w:rPr>
          <w:rFonts w:ascii="Calibri" w:hAnsi="Calibri" w:cs="Calibri"/>
          <w:color w:val="auto"/>
          <w:szCs w:val="22"/>
        </w:rPr>
        <w:t xml:space="preserve"> a foreign law demands or allows for keeping an information confidential, but EU law constitutes a disclosure obligation</w:t>
      </w:r>
      <w:r w:rsidRPr="00701498">
        <w:rPr>
          <w:rFonts w:ascii="Calibri" w:hAnsi="Calibri" w:cs="Calibri"/>
          <w:color w:val="auto"/>
          <w:szCs w:val="22"/>
          <w:lang w:val="en-US"/>
        </w:rPr>
        <w:t xml:space="preserve">. </w:t>
      </w:r>
      <w:r w:rsidRPr="00701498">
        <w:rPr>
          <w:rFonts w:ascii="Calibri" w:hAnsi="Calibri" w:cs="Calibri"/>
          <w:color w:val="auto"/>
          <w:szCs w:val="22"/>
        </w:rPr>
        <w:t>Mo</w:t>
      </w:r>
      <w:r w:rsidRPr="00701498">
        <w:rPr>
          <w:rFonts w:ascii="Calibri" w:hAnsi="Calibri" w:cs="Calibri"/>
          <w:color w:val="000000"/>
          <w:szCs w:val="22"/>
        </w:rPr>
        <w:t>reover, EuropeanIssuers would like to have a clarification from ESMA on the situation where a non-disclosure order issued by a public authority is perpetual or does not contain an expiry date. In such circumstances, it is unclear whether the delay in the disclosure of inside information pursuant to Article 17(4) MAR applies for an indefinite period - for as long as the order remains in force - or whether the legitimate interest for delay simply does not apply in the absence of a defined time limit.</w:t>
      </w:r>
    </w:p>
    <w:p w14:paraId="04FD2085" w14:textId="77777777" w:rsidR="00A027A1" w:rsidRPr="007C44C2" w:rsidRDefault="00A027A1" w:rsidP="00A027A1">
      <w:pPr>
        <w:pStyle w:val="ListParagraph"/>
        <w:numPr>
          <w:ilvl w:val="0"/>
          <w:numId w:val="18"/>
        </w:numPr>
        <w:autoSpaceDE w:val="0"/>
        <w:autoSpaceDN w:val="0"/>
        <w:adjustRightInd w:val="0"/>
        <w:spacing w:before="160" w:after="0" w:line="320" w:lineRule="exact"/>
        <w:contextualSpacing/>
        <w:rPr>
          <w:rFonts w:ascii="Calibri" w:hAnsi="Calibri" w:cs="Calibri"/>
          <w:color w:val="000000"/>
          <w:lang w:val="en-US"/>
        </w:rPr>
      </w:pPr>
      <w:r w:rsidRPr="007C44C2">
        <w:rPr>
          <w:rFonts w:ascii="Calibri" w:hAnsi="Calibri" w:cs="Calibri"/>
          <w:color w:val="000000"/>
          <w:u w:val="single"/>
          <w:lang w:val="en-US"/>
        </w:rPr>
        <w:t>Regarding letter b):</w:t>
      </w:r>
      <w:r w:rsidRPr="007C44C2">
        <w:rPr>
          <w:rFonts w:ascii="Calibri" w:hAnsi="Calibri" w:cs="Calibri"/>
          <w:color w:val="000000"/>
          <w:lang w:val="en-US"/>
        </w:rPr>
        <w:t xml:space="preserve"> EuropeanIssuers would like to make the following comments: </w:t>
      </w:r>
    </w:p>
    <w:p w14:paraId="7DD5380C" w14:textId="77777777" w:rsidR="00A027A1" w:rsidRDefault="00A027A1" w:rsidP="00A027A1">
      <w:pPr>
        <w:autoSpaceDE w:val="0"/>
        <w:autoSpaceDN w:val="0"/>
        <w:adjustRightInd w:val="0"/>
        <w:spacing w:before="160" w:after="0" w:line="320" w:lineRule="exact"/>
        <w:ind w:left="708"/>
        <w:rPr>
          <w:rFonts w:ascii="Calibri" w:hAnsi="Calibri" w:cs="Calibri"/>
          <w:szCs w:val="22"/>
        </w:rPr>
      </w:pPr>
      <w:r w:rsidRPr="00BE3FA1">
        <w:rPr>
          <w:rFonts w:ascii="Calibri" w:hAnsi="Calibri" w:cs="Calibri"/>
          <w:b/>
          <w:bCs/>
          <w:szCs w:val="22"/>
          <w:lang w:val="en-US"/>
        </w:rPr>
        <w:t>Interplay between Article 7 and Article 17 MAR</w:t>
      </w:r>
      <w:r>
        <w:rPr>
          <w:rFonts w:ascii="Calibri" w:hAnsi="Calibri" w:cs="Calibri"/>
          <w:b/>
          <w:bCs/>
          <w:szCs w:val="22"/>
          <w:lang w:val="en-US"/>
        </w:rPr>
        <w:t>:</w:t>
      </w:r>
      <w:r w:rsidRPr="00BE3FA1">
        <w:rPr>
          <w:rFonts w:ascii="Calibri" w:hAnsi="Calibri" w:cs="Calibri"/>
          <w:szCs w:val="22"/>
        </w:rPr>
        <w:t xml:space="preserve"> it should be noted that, in our view, the information at stake may lack the character of precision required under Article 7 MAR until the information-gathering process has been completed and the results have been duly analysed by the issuer's administrative body. In such circumstances, the information would not yet qualify as inside information and, accordingly, no disclosure obligation under Article 17 MAR would arise in the first place, rendering the question of delay under Article 17(4) MAR not applicable. This assessment, that should be left to a case-by case analysis by the issuer, should be clarified in the final guidelines.  </w:t>
      </w:r>
    </w:p>
    <w:p w14:paraId="77D42B3A" w14:textId="77777777" w:rsidR="00A027A1" w:rsidRPr="00BE3FA1" w:rsidRDefault="00A027A1" w:rsidP="00A027A1">
      <w:pPr>
        <w:autoSpaceDE w:val="0"/>
        <w:autoSpaceDN w:val="0"/>
        <w:adjustRightInd w:val="0"/>
        <w:spacing w:before="160" w:after="0" w:line="320" w:lineRule="exact"/>
        <w:ind w:left="708"/>
        <w:rPr>
          <w:rFonts w:ascii="Calibri" w:hAnsi="Calibri" w:cs="Calibri"/>
          <w:color w:val="000000"/>
          <w:szCs w:val="22"/>
          <w:lang w:val="en-US"/>
        </w:rPr>
      </w:pPr>
      <w:r w:rsidRPr="00BE3FA1">
        <w:rPr>
          <w:rFonts w:ascii="Calibri" w:hAnsi="Calibri" w:cs="Calibri"/>
          <w:b/>
          <w:bCs/>
          <w:color w:val="000000"/>
          <w:szCs w:val="22"/>
          <w:lang w:val="en-US"/>
        </w:rPr>
        <w:t>The need for a “comprehensive assessment” and remediation</w:t>
      </w:r>
      <w:r w:rsidRPr="00BE3FA1">
        <w:rPr>
          <w:rFonts w:ascii="Calibri" w:hAnsi="Calibri" w:cs="Calibri"/>
          <w:color w:val="000000"/>
          <w:szCs w:val="22"/>
          <w:lang w:val="en-US"/>
        </w:rPr>
        <w:t xml:space="preserve">: </w:t>
      </w:r>
      <w:r w:rsidRPr="00BE3FA1">
        <w:rPr>
          <w:rFonts w:ascii="Calibri" w:hAnsi="Calibri" w:cs="Calibri"/>
          <w:color w:val="000000"/>
          <w:szCs w:val="22"/>
        </w:rPr>
        <w:t>We strongly suggest explicitly including the concept of a "comprehensive assessment" that covers both direct and indirect impacts, as well as potential remediation actions. Premature disclosure of an incident, before the issuer's administrative body has duly analysed its full scope and the mitigating measures available, carries a significant risk of misleading the public regarding the actual consequences of the event.</w:t>
      </w:r>
    </w:p>
    <w:p w14:paraId="218B4E7A" w14:textId="77777777" w:rsidR="00A027A1" w:rsidRPr="00BE3FA1" w:rsidRDefault="00A027A1" w:rsidP="00A027A1">
      <w:pPr>
        <w:autoSpaceDE w:val="0"/>
        <w:autoSpaceDN w:val="0"/>
        <w:adjustRightInd w:val="0"/>
        <w:spacing w:before="160" w:after="0" w:line="320" w:lineRule="exact"/>
        <w:ind w:left="708"/>
        <w:rPr>
          <w:rFonts w:ascii="Calibri" w:hAnsi="Calibri" w:cs="Calibri"/>
          <w:color w:val="000000"/>
          <w:szCs w:val="22"/>
          <w:lang w:val="en-US"/>
        </w:rPr>
      </w:pPr>
      <w:r w:rsidRPr="00BE3FA1">
        <w:rPr>
          <w:rFonts w:ascii="Calibri" w:hAnsi="Calibri" w:cs="Calibri"/>
          <w:b/>
          <w:bCs/>
          <w:color w:val="000000"/>
          <w:szCs w:val="22"/>
          <w:lang w:val="en-US"/>
        </w:rPr>
        <w:t>Broadening the scope of examples</w:t>
      </w:r>
      <w:r w:rsidRPr="00BE3FA1">
        <w:rPr>
          <w:rFonts w:ascii="Calibri" w:hAnsi="Calibri" w:cs="Calibri"/>
          <w:color w:val="000000"/>
          <w:szCs w:val="22"/>
          <w:lang w:val="en-US"/>
        </w:rPr>
        <w:t xml:space="preserve">: We believe </w:t>
      </w:r>
      <w:r w:rsidRPr="00BE3FA1">
        <w:rPr>
          <w:rFonts w:ascii="Calibri" w:hAnsi="Calibri" w:cs="Calibri"/>
          <w:color w:val="auto"/>
          <w:szCs w:val="22"/>
          <w:lang w:val="en-US"/>
        </w:rPr>
        <w:t>the e</w:t>
      </w:r>
      <w:r w:rsidRPr="00BE3FA1">
        <w:rPr>
          <w:rFonts w:ascii="Calibri" w:hAnsi="Calibri" w:cs="Calibri"/>
          <w:color w:val="000000"/>
          <w:szCs w:val="22"/>
          <w:lang w:val="en-US"/>
        </w:rPr>
        <w:t xml:space="preserve">xamples provided in the guidelines should not be limited to cyberattacks. </w:t>
      </w:r>
      <w:r w:rsidRPr="00BE3FA1">
        <w:rPr>
          <w:rFonts w:ascii="Calibri" w:hAnsi="Calibri" w:cs="Calibri"/>
          <w:color w:val="000000"/>
          <w:szCs w:val="22"/>
        </w:rPr>
        <w:t>A single, specific example could lead to a restrictive interpretation of "legitimate interest" in the context of other fast-evolving and complex crises. Expanding the examples to include major climate events or geopolitical shocks ensures the guidelines remain adaptable to various exceptional circumstances.</w:t>
      </w:r>
      <w:r w:rsidRPr="00BE3FA1">
        <w:rPr>
          <w:rFonts w:ascii="Calibri" w:hAnsi="Calibri" w:cs="Calibri"/>
          <w:szCs w:val="22"/>
        </w:rPr>
        <w:t xml:space="preserve"> </w:t>
      </w:r>
    </w:p>
    <w:p w14:paraId="784E6247" w14:textId="77777777" w:rsidR="00A027A1" w:rsidRPr="00BE3FA1" w:rsidRDefault="00A027A1" w:rsidP="00A027A1">
      <w:pPr>
        <w:autoSpaceDE w:val="0"/>
        <w:autoSpaceDN w:val="0"/>
        <w:adjustRightInd w:val="0"/>
        <w:spacing w:before="160" w:afterLines="200" w:after="480" w:line="320" w:lineRule="exact"/>
        <w:ind w:left="708"/>
        <w:rPr>
          <w:rFonts w:ascii="Calibri" w:hAnsi="Calibri" w:cs="Calibri"/>
          <w:color w:val="000000"/>
          <w:szCs w:val="22"/>
          <w:lang w:val="en-US"/>
        </w:rPr>
      </w:pPr>
      <w:r w:rsidRPr="00BE3FA1">
        <w:rPr>
          <w:rFonts w:ascii="Calibri" w:hAnsi="Calibri" w:cs="Calibri"/>
          <w:color w:val="000000"/>
          <w:szCs w:val="22"/>
          <w:lang w:val="en-US"/>
        </w:rPr>
        <w:t>We therefore suggest the following wording:</w:t>
      </w:r>
    </w:p>
    <w:p w14:paraId="721D3454" w14:textId="77777777" w:rsidR="00A027A1" w:rsidRPr="00BE3FA1" w:rsidRDefault="00A027A1" w:rsidP="00A027A1">
      <w:pPr>
        <w:spacing w:before="160" w:after="0"/>
        <w:ind w:left="708"/>
        <w:rPr>
          <w:rFonts w:ascii="Calibri" w:hAnsi="Calibri" w:cs="Calibri"/>
          <w:i/>
          <w:iCs/>
          <w:szCs w:val="22"/>
          <w:lang w:val="en-US"/>
        </w:rPr>
      </w:pPr>
      <w:r w:rsidRPr="003B6E1B">
        <w:rPr>
          <w:rFonts w:ascii="Calibri" w:hAnsi="Calibri" w:cs="Calibri"/>
          <w:i/>
          <w:iCs/>
          <w:szCs w:val="22"/>
          <w:lang w:val="en-US"/>
        </w:rPr>
        <w:lastRenderedPageBreak/>
        <w:t>“</w:t>
      </w:r>
      <w:proofErr w:type="gramStart"/>
      <w:r w:rsidRPr="003B6E1B">
        <w:rPr>
          <w:rFonts w:ascii="Calibri" w:hAnsi="Calibri" w:cs="Calibri"/>
          <w:i/>
          <w:iCs/>
          <w:szCs w:val="22"/>
        </w:rPr>
        <w:t>the</w:t>
      </w:r>
      <w:proofErr w:type="gramEnd"/>
      <w:r w:rsidRPr="003B6E1B">
        <w:rPr>
          <w:rFonts w:ascii="Calibri" w:hAnsi="Calibri" w:cs="Calibri"/>
          <w:i/>
          <w:iCs/>
          <w:szCs w:val="22"/>
        </w:rPr>
        <w:t xml:space="preserve"> issuers need to collect </w:t>
      </w:r>
      <w:r w:rsidRPr="003B6E1B">
        <w:rPr>
          <w:rFonts w:ascii="Calibri" w:hAnsi="Calibri" w:cs="Calibri"/>
          <w:b/>
          <w:bCs/>
          <w:i/>
          <w:iCs/>
          <w:szCs w:val="22"/>
        </w:rPr>
        <w:t>and analyse</w:t>
      </w:r>
      <w:r w:rsidRPr="003B6E1B">
        <w:rPr>
          <w:rFonts w:ascii="Calibri" w:hAnsi="Calibri" w:cs="Calibri"/>
          <w:i/>
          <w:iCs/>
          <w:szCs w:val="22"/>
        </w:rPr>
        <w:t xml:space="preserve"> additional information which is not immediately available about an exceptional event or circumstance, </w:t>
      </w:r>
      <w:proofErr w:type="gramStart"/>
      <w:r w:rsidRPr="003B6E1B">
        <w:rPr>
          <w:rFonts w:ascii="Calibri" w:hAnsi="Calibri" w:cs="Calibri"/>
          <w:i/>
          <w:iCs/>
          <w:szCs w:val="22"/>
        </w:rPr>
        <w:t>in order to</w:t>
      </w:r>
      <w:proofErr w:type="gramEnd"/>
      <w:r w:rsidRPr="003B6E1B">
        <w:rPr>
          <w:rFonts w:ascii="Calibri" w:hAnsi="Calibri" w:cs="Calibri"/>
          <w:i/>
          <w:iCs/>
          <w:szCs w:val="22"/>
        </w:rPr>
        <w:t xml:space="preserve"> enable a </w:t>
      </w:r>
      <w:r w:rsidRPr="003B6E1B">
        <w:rPr>
          <w:rFonts w:ascii="Calibri" w:hAnsi="Calibri" w:cs="Calibri"/>
          <w:b/>
          <w:bCs/>
          <w:i/>
          <w:iCs/>
          <w:szCs w:val="22"/>
        </w:rPr>
        <w:t xml:space="preserve">comprehensive </w:t>
      </w:r>
      <w:r w:rsidRPr="003B6E1B">
        <w:rPr>
          <w:rFonts w:ascii="Calibri" w:hAnsi="Calibri" w:cs="Calibri"/>
          <w:b/>
          <w:bCs/>
          <w:i/>
          <w:iCs/>
          <w:strike/>
          <w:szCs w:val="22"/>
        </w:rPr>
        <w:t>correct</w:t>
      </w:r>
      <w:r w:rsidRPr="003B6E1B">
        <w:rPr>
          <w:rFonts w:ascii="Calibri" w:hAnsi="Calibri" w:cs="Calibri"/>
          <w:i/>
          <w:iCs/>
          <w:szCs w:val="22"/>
        </w:rPr>
        <w:t xml:space="preserve"> assessment by market participants</w:t>
      </w:r>
      <w:r w:rsidRPr="003B6E1B">
        <w:rPr>
          <w:rFonts w:ascii="Calibri" w:hAnsi="Calibri" w:cs="Calibri"/>
          <w:b/>
          <w:bCs/>
          <w:i/>
          <w:iCs/>
          <w:szCs w:val="22"/>
        </w:rPr>
        <w:t>, including potential remediation actions that can be implemented by issuers</w:t>
      </w:r>
      <w:r w:rsidRPr="003B6E1B">
        <w:rPr>
          <w:rFonts w:ascii="Calibri" w:hAnsi="Calibri" w:cs="Calibri"/>
          <w:i/>
          <w:iCs/>
          <w:szCs w:val="22"/>
        </w:rPr>
        <w:t xml:space="preserve">. </w:t>
      </w:r>
      <w:r w:rsidRPr="003B6E1B">
        <w:rPr>
          <w:rFonts w:ascii="Calibri" w:hAnsi="Calibri" w:cs="Calibri"/>
          <w:i/>
          <w:iCs/>
          <w:szCs w:val="22"/>
          <w:lang w:val="en-US"/>
        </w:rPr>
        <w:t xml:space="preserve">This could be for example the case where the issuers need to collect </w:t>
      </w:r>
      <w:r w:rsidRPr="003B6E1B">
        <w:rPr>
          <w:rFonts w:ascii="Calibri" w:hAnsi="Calibri" w:cs="Calibri"/>
          <w:b/>
          <w:bCs/>
          <w:i/>
          <w:iCs/>
          <w:szCs w:val="22"/>
          <w:lang w:val="en-US"/>
        </w:rPr>
        <w:t xml:space="preserve">and </w:t>
      </w:r>
      <w:proofErr w:type="spellStart"/>
      <w:r w:rsidRPr="003B6E1B">
        <w:rPr>
          <w:rFonts w:ascii="Calibri" w:hAnsi="Calibri" w:cs="Calibri"/>
          <w:b/>
          <w:bCs/>
          <w:i/>
          <w:iCs/>
          <w:szCs w:val="22"/>
          <w:lang w:val="en-US"/>
        </w:rPr>
        <w:t>analyse</w:t>
      </w:r>
      <w:proofErr w:type="spellEnd"/>
      <w:r w:rsidRPr="003B6E1B">
        <w:rPr>
          <w:rFonts w:ascii="Calibri" w:hAnsi="Calibri" w:cs="Calibri"/>
          <w:b/>
          <w:bCs/>
          <w:i/>
          <w:iCs/>
          <w:szCs w:val="22"/>
          <w:lang w:val="en-US"/>
        </w:rPr>
        <w:t xml:space="preserve"> comprehensive </w:t>
      </w:r>
      <w:r w:rsidRPr="003B6E1B">
        <w:rPr>
          <w:rFonts w:ascii="Calibri" w:hAnsi="Calibri" w:cs="Calibri"/>
          <w:i/>
          <w:iCs/>
          <w:szCs w:val="22"/>
          <w:lang w:val="en-US"/>
        </w:rPr>
        <w:t xml:space="preserve">information on </w:t>
      </w:r>
      <w:r w:rsidRPr="003B6E1B">
        <w:rPr>
          <w:rFonts w:ascii="Calibri" w:hAnsi="Calibri" w:cs="Calibri"/>
          <w:b/>
          <w:bCs/>
          <w:i/>
          <w:iCs/>
          <w:strike/>
          <w:szCs w:val="22"/>
          <w:lang w:val="en-US"/>
        </w:rPr>
        <w:t>the effect of</w:t>
      </w:r>
      <w:r w:rsidRPr="003B6E1B">
        <w:rPr>
          <w:rFonts w:ascii="Calibri" w:hAnsi="Calibri" w:cs="Calibri"/>
          <w:i/>
          <w:iCs/>
          <w:szCs w:val="22"/>
          <w:lang w:val="en-US"/>
        </w:rPr>
        <w:t xml:space="preserve"> a major incident </w:t>
      </w:r>
      <w:r w:rsidRPr="003B6E1B">
        <w:rPr>
          <w:rFonts w:ascii="Calibri" w:hAnsi="Calibri" w:cs="Calibri"/>
          <w:b/>
          <w:bCs/>
          <w:i/>
          <w:iCs/>
          <w:szCs w:val="22"/>
          <w:lang w:val="en-US"/>
        </w:rPr>
        <w:t>such as a major climate or a geopolitical issue o</w:t>
      </w:r>
      <w:r w:rsidRPr="003B6E1B">
        <w:rPr>
          <w:rFonts w:ascii="Calibri" w:hAnsi="Calibri" w:cs="Calibri"/>
          <w:i/>
          <w:iCs/>
          <w:szCs w:val="22"/>
          <w:lang w:val="en-US"/>
        </w:rPr>
        <w:t xml:space="preserve">r a </w:t>
      </w:r>
      <w:r w:rsidRPr="003B6E1B">
        <w:rPr>
          <w:rFonts w:ascii="Calibri" w:hAnsi="Calibri" w:cs="Calibri"/>
          <w:b/>
          <w:bCs/>
          <w:i/>
          <w:iCs/>
          <w:szCs w:val="22"/>
          <w:lang w:val="en-US"/>
        </w:rPr>
        <w:t>major</w:t>
      </w:r>
      <w:r w:rsidRPr="003B6E1B">
        <w:rPr>
          <w:rFonts w:ascii="Calibri" w:hAnsi="Calibri" w:cs="Calibri"/>
          <w:i/>
          <w:iCs/>
          <w:szCs w:val="22"/>
          <w:lang w:val="en-US"/>
        </w:rPr>
        <w:t xml:space="preserve"> cyberattack to provide correct information to the public and to avoid the negative effects a premature communication of the incident or the attack to the public may cause”.</w:t>
      </w:r>
    </w:p>
    <w:p w14:paraId="656D6224" w14:textId="77777777" w:rsidR="00A027A1" w:rsidRPr="007C44C2" w:rsidRDefault="00A027A1" w:rsidP="00A027A1">
      <w:pPr>
        <w:pStyle w:val="ListParagraph"/>
        <w:numPr>
          <w:ilvl w:val="0"/>
          <w:numId w:val="18"/>
        </w:numPr>
        <w:autoSpaceDE w:val="0"/>
        <w:autoSpaceDN w:val="0"/>
        <w:adjustRightInd w:val="0"/>
        <w:spacing w:before="160" w:afterLines="200" w:after="480" w:line="320" w:lineRule="exact"/>
        <w:contextualSpacing/>
        <w:rPr>
          <w:rFonts w:ascii="Calibri" w:hAnsi="Calibri" w:cs="Calibri"/>
          <w:color w:val="000000"/>
          <w:lang w:val="en-US"/>
        </w:rPr>
      </w:pPr>
      <w:r w:rsidRPr="007C44C2">
        <w:rPr>
          <w:rFonts w:ascii="Calibri" w:hAnsi="Calibri" w:cs="Calibri"/>
          <w:color w:val="000000"/>
          <w:u w:val="single"/>
          <w:lang w:val="en-US"/>
        </w:rPr>
        <w:t xml:space="preserve">Regarding letter c) </w:t>
      </w:r>
      <w:r w:rsidRPr="007C44C2">
        <w:rPr>
          <w:rFonts w:ascii="Calibri" w:hAnsi="Calibri" w:cs="Calibri"/>
          <w:color w:val="000000"/>
          <w:lang w:val="en-US"/>
        </w:rPr>
        <w:t xml:space="preserve">EuropeanIssuers considers the example not </w:t>
      </w:r>
      <w:proofErr w:type="gramStart"/>
      <w:r w:rsidRPr="007C44C2">
        <w:rPr>
          <w:rFonts w:ascii="Calibri" w:hAnsi="Calibri" w:cs="Calibri"/>
          <w:color w:val="000000"/>
          <w:lang w:val="en-US"/>
        </w:rPr>
        <w:t>really clear</w:t>
      </w:r>
      <w:proofErr w:type="gramEnd"/>
      <w:r w:rsidRPr="007C44C2">
        <w:rPr>
          <w:rFonts w:ascii="Calibri" w:hAnsi="Calibri" w:cs="Calibri"/>
          <w:color w:val="000000"/>
          <w:lang w:val="en-US"/>
        </w:rPr>
        <w:t xml:space="preserve"> and would appreciate a clearer example or this example to be clarified.</w:t>
      </w:r>
    </w:p>
    <w:permEnd w:id="55053902"/>
    <w:p w14:paraId="360DEE1D" w14:textId="2B189AD5" w:rsidR="009B1E21" w:rsidRDefault="009B1E21" w:rsidP="009B1E21">
      <w:r>
        <w:t>&lt;ESMA_QUESTION_</w:t>
      </w:r>
      <w:r w:rsidR="00392A82" w:rsidRPr="00392A82">
        <w:t xml:space="preserve"> </w:t>
      </w:r>
      <w:r w:rsidR="00B7619F">
        <w:t>MARG</w:t>
      </w:r>
      <w:r>
        <w:t>_2&gt;</w:t>
      </w:r>
    </w:p>
    <w:p w14:paraId="7B3E150D" w14:textId="33164E27"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addition to the case of parallel procurements of the same nature, are you aware of other instances where disclosure of sensitive commercial information may jeopardise an issuer’s business opportunity, and should thus qualify as a legitimate interest for the delay?</w:t>
      </w:r>
      <w:r w:rsidRPr="00392A82">
        <w:t xml:space="preserve"> </w:t>
      </w:r>
      <w:r w:rsidRPr="008605FA">
        <w:t xml:space="preserve"> </w:t>
      </w:r>
    </w:p>
    <w:p w14:paraId="17BA9C8B" w14:textId="54C25506" w:rsidR="00B7619F" w:rsidRDefault="00B7619F" w:rsidP="00B7619F">
      <w:r>
        <w:t>&lt;ESMA_QUESTION_MARG_3&gt;</w:t>
      </w:r>
    </w:p>
    <w:p w14:paraId="014910AC" w14:textId="77777777" w:rsidR="00A027A1" w:rsidRPr="00BE3FA1" w:rsidRDefault="00A027A1" w:rsidP="00A027A1">
      <w:pPr>
        <w:rPr>
          <w:rFonts w:ascii="Calibri" w:hAnsi="Calibri" w:cs="Calibri"/>
          <w:szCs w:val="22"/>
        </w:rPr>
      </w:pPr>
      <w:permStart w:id="876955670" w:edGrp="everyone"/>
      <w:r w:rsidRPr="00BE3FA1">
        <w:rPr>
          <w:rFonts w:ascii="Calibri" w:hAnsi="Calibri" w:cs="Calibri"/>
          <w:szCs w:val="22"/>
        </w:rPr>
        <w:t xml:space="preserve">Disclosure of sensitive commercial information may jeopardize issuers’ business opportunities in many ways. Since MAR contains no carve-out for any kind of commercial secrecy, it’s extremely difficult to assess, what kind of information constituting commercial secrecy could be considered unimportant by reasonable investor and thus could be kept confidential by a company. </w:t>
      </w:r>
      <w:proofErr w:type="gramStart"/>
      <w:r w:rsidRPr="00BE3FA1">
        <w:rPr>
          <w:rFonts w:ascii="Calibri" w:hAnsi="Calibri" w:cs="Calibri"/>
          <w:szCs w:val="22"/>
        </w:rPr>
        <w:t>As a consequence</w:t>
      </w:r>
      <w:proofErr w:type="gramEnd"/>
      <w:r w:rsidRPr="00BE3FA1">
        <w:rPr>
          <w:rFonts w:ascii="Calibri" w:hAnsi="Calibri" w:cs="Calibri"/>
          <w:szCs w:val="22"/>
        </w:rPr>
        <w:t xml:space="preserve">, issuers feel reluctant to </w:t>
      </w:r>
      <w:proofErr w:type="gramStart"/>
      <w:r w:rsidRPr="00BE3FA1">
        <w:rPr>
          <w:rFonts w:ascii="Calibri" w:hAnsi="Calibri" w:cs="Calibri"/>
          <w:szCs w:val="22"/>
        </w:rPr>
        <w:t>enter into</w:t>
      </w:r>
      <w:proofErr w:type="gramEnd"/>
      <w:r w:rsidRPr="00BE3FA1">
        <w:rPr>
          <w:rFonts w:ascii="Calibri" w:hAnsi="Calibri" w:cs="Calibri"/>
          <w:szCs w:val="22"/>
        </w:rPr>
        <w:t xml:space="preserve"> transactions, which could be of importance to investors, since this may lead to the necessity to disclose some details of transactions, which could be crucial from the perspective of competitiveness of issuer and/or its counterparty. Possibility to delay information constituting commercial secrecy could solve partially the problem of over transparency of issuers.</w:t>
      </w:r>
    </w:p>
    <w:permEnd w:id="876955670"/>
    <w:p w14:paraId="3F02FC20" w14:textId="6C910F94" w:rsidR="00B7619F" w:rsidRDefault="00B7619F" w:rsidP="00B7619F">
      <w:r>
        <w:t>&lt;ESMA_QUESTION_</w:t>
      </w:r>
      <w:r w:rsidRPr="00B7619F">
        <w:t xml:space="preserve"> </w:t>
      </w:r>
      <w:r>
        <w:t>MARG_3&gt;</w:t>
      </w:r>
    </w:p>
    <w:p w14:paraId="43D3331B" w14:textId="1D78BF92"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your view, which legitimate interests could be added to the MAR Guidelines for the purpose of the delay in the disclosure?</w:t>
      </w:r>
      <w:r w:rsidRPr="00392A82">
        <w:t xml:space="preserve"> </w:t>
      </w:r>
      <w:r w:rsidRPr="008605FA">
        <w:t xml:space="preserve"> </w:t>
      </w:r>
    </w:p>
    <w:p w14:paraId="185C5892" w14:textId="7DE42051" w:rsidR="00B7619F" w:rsidRDefault="00B7619F" w:rsidP="00B7619F">
      <w:r>
        <w:t>&lt;ESMA_QUESTION_MARG_4&gt;</w:t>
      </w:r>
    </w:p>
    <w:p w14:paraId="68DE78D6" w14:textId="77777777" w:rsidR="00A027A1" w:rsidRPr="007C44C2" w:rsidRDefault="00A027A1" w:rsidP="00745205">
      <w:pPr>
        <w:rPr>
          <w:rFonts w:ascii="Calibri" w:hAnsi="Calibri" w:cs="Calibri"/>
          <w:szCs w:val="22"/>
        </w:rPr>
      </w:pPr>
      <w:permStart w:id="1788426663" w:edGrp="everyone"/>
      <w:r w:rsidRPr="007C44C2">
        <w:rPr>
          <w:rFonts w:ascii="Calibri" w:hAnsi="Calibri" w:cs="Calibri"/>
          <w:szCs w:val="22"/>
        </w:rPr>
        <w:t xml:space="preserve">We are of the opinion that further examples of legitimate interests could improve legal certainty, even though the examples provided by ESMA serve as illustrations of the principle, not as a closed catalogue limiting the issuer's discretion. </w:t>
      </w:r>
    </w:p>
    <w:p w14:paraId="39CEA573" w14:textId="77777777" w:rsidR="00A027A1" w:rsidRPr="007C44C2" w:rsidRDefault="00A027A1" w:rsidP="00745205">
      <w:pPr>
        <w:rPr>
          <w:rFonts w:ascii="Calibri" w:hAnsi="Calibri" w:cs="Calibri"/>
          <w:szCs w:val="22"/>
        </w:rPr>
      </w:pPr>
      <w:r w:rsidRPr="007C44C2">
        <w:rPr>
          <w:rFonts w:ascii="Calibri" w:hAnsi="Calibri" w:cs="Calibri"/>
          <w:szCs w:val="22"/>
        </w:rPr>
        <w:lastRenderedPageBreak/>
        <w:t xml:space="preserve">Besides generalising the principle of protecting commercial secrets (see Q 3) the following additional points could be included: </w:t>
      </w:r>
    </w:p>
    <w:p w14:paraId="47AE0258" w14:textId="77777777" w:rsidR="00A027A1" w:rsidRPr="006235FF" w:rsidRDefault="00A027A1" w:rsidP="00A027A1">
      <w:pPr>
        <w:numPr>
          <w:ilvl w:val="0"/>
          <w:numId w:val="20"/>
        </w:numPr>
        <w:rPr>
          <w:rFonts w:ascii="Calibri" w:hAnsi="Calibri" w:cs="Calibri"/>
          <w:szCs w:val="22"/>
        </w:rPr>
      </w:pPr>
      <w:r w:rsidRPr="007C44C2">
        <w:rPr>
          <w:rFonts w:ascii="Calibri" w:hAnsi="Calibri" w:cs="Calibri"/>
          <w:b/>
          <w:bCs/>
          <w:szCs w:val="22"/>
        </w:rPr>
        <w:t>Coordination of disclosures in a group of companies:</w:t>
      </w:r>
      <w:r>
        <w:rPr>
          <w:rFonts w:ascii="Calibri" w:hAnsi="Calibri" w:cs="Calibri"/>
          <w:szCs w:val="22"/>
        </w:rPr>
        <w:t xml:space="preserve"> EuropeanIssuers considers that</w:t>
      </w:r>
      <w:r w:rsidRPr="007C44C2">
        <w:rPr>
          <w:rFonts w:ascii="Calibri" w:hAnsi="Calibri" w:cs="Calibri"/>
          <w:szCs w:val="22"/>
        </w:rPr>
        <w:t xml:space="preserve"> </w:t>
      </w:r>
      <w:r>
        <w:rPr>
          <w:rFonts w:ascii="Calibri" w:hAnsi="Calibri" w:cs="Calibri"/>
          <w:szCs w:val="22"/>
        </w:rPr>
        <w:t>i</w:t>
      </w:r>
      <w:r w:rsidRPr="007C44C2">
        <w:rPr>
          <w:rFonts w:ascii="Calibri" w:hAnsi="Calibri" w:cs="Calibri"/>
          <w:szCs w:val="22"/>
        </w:rPr>
        <w:t xml:space="preserve">f two group companies are obliged to disclose inside information (e.g. because both are listed companies in the EU or underly similar obligations under a foreign law) it should be of legitimate interest to delay disclosures for the time it takes to coordinate the disclosures. This would allow for a clear capital markets communication which is also in the interest of investors. </w:t>
      </w:r>
      <w:r w:rsidRPr="006235FF">
        <w:rPr>
          <w:rFonts w:ascii="Calibri" w:hAnsi="Calibri" w:cs="Calibri"/>
          <w:szCs w:val="22"/>
        </w:rPr>
        <w:t xml:space="preserve">considering that MAR does not tackle the relevant issue regarding the intragroup information flows. </w:t>
      </w:r>
    </w:p>
    <w:p w14:paraId="799CD470" w14:textId="77777777" w:rsidR="00A027A1" w:rsidRPr="007C44C2" w:rsidRDefault="00A027A1" w:rsidP="00A027A1">
      <w:pPr>
        <w:numPr>
          <w:ilvl w:val="0"/>
          <w:numId w:val="20"/>
        </w:numPr>
        <w:rPr>
          <w:rFonts w:ascii="Calibri" w:hAnsi="Calibri" w:cs="Calibri"/>
          <w:szCs w:val="22"/>
        </w:rPr>
      </w:pPr>
      <w:r w:rsidRPr="007C44C2">
        <w:rPr>
          <w:rFonts w:ascii="Calibri" w:hAnsi="Calibri" w:cs="Calibri"/>
          <w:b/>
          <w:bCs/>
          <w:szCs w:val="22"/>
        </w:rPr>
        <w:t>Appointment of key managers or senior executives:</w:t>
      </w:r>
      <w:r>
        <w:rPr>
          <w:rFonts w:ascii="Calibri" w:hAnsi="Calibri" w:cs="Calibri"/>
          <w:szCs w:val="22"/>
        </w:rPr>
        <w:t xml:space="preserve"> </w:t>
      </w:r>
      <w:r w:rsidRPr="007C44C2">
        <w:rPr>
          <w:rFonts w:ascii="Calibri" w:hAnsi="Calibri" w:cs="Calibri"/>
          <w:szCs w:val="22"/>
        </w:rPr>
        <w:t>EuropeanIssuers considers that the appointment of key managers or senior executives represents another situation in which immediate disclosure of inside information may adversely affect an issuer’s legitimate business interests and may therefore constitute a legitimate interest capable of justifying delayed disclosure under Article 17(4) MAR.</w:t>
      </w:r>
    </w:p>
    <w:p w14:paraId="108ED12A" w14:textId="77777777" w:rsidR="00A027A1" w:rsidRPr="00BE3FA1" w:rsidRDefault="00A027A1" w:rsidP="00745205">
      <w:pPr>
        <w:ind w:left="708"/>
        <w:rPr>
          <w:rFonts w:ascii="Calibri" w:hAnsi="Calibri" w:cs="Calibri"/>
          <w:szCs w:val="22"/>
        </w:rPr>
      </w:pPr>
      <w:r w:rsidRPr="00BE3FA1">
        <w:rPr>
          <w:rFonts w:ascii="Calibri" w:hAnsi="Calibri" w:cs="Calibri"/>
          <w:szCs w:val="22"/>
        </w:rPr>
        <w:t>This may arise</w:t>
      </w:r>
      <w:proofErr w:type="gramStart"/>
      <w:r w:rsidRPr="00BE3FA1">
        <w:rPr>
          <w:rFonts w:ascii="Calibri" w:hAnsi="Calibri" w:cs="Calibri"/>
          <w:szCs w:val="22"/>
        </w:rPr>
        <w:t>, in particular, where</w:t>
      </w:r>
      <w:proofErr w:type="gramEnd"/>
      <w:r w:rsidRPr="00BE3FA1">
        <w:rPr>
          <w:rFonts w:ascii="Calibri" w:hAnsi="Calibri" w:cs="Calibri"/>
          <w:szCs w:val="22"/>
        </w:rPr>
        <w:t xml:space="preserve"> the issuer’s competent corporate body has decided to appoint a new manager or executive, but the individual concerned has not yet </w:t>
      </w:r>
      <w:proofErr w:type="gramStart"/>
      <w:r w:rsidRPr="00BE3FA1">
        <w:rPr>
          <w:rFonts w:ascii="Calibri" w:hAnsi="Calibri" w:cs="Calibri"/>
          <w:szCs w:val="22"/>
        </w:rPr>
        <w:t>brought to an end</w:t>
      </w:r>
      <w:proofErr w:type="gramEnd"/>
      <w:r w:rsidRPr="00BE3FA1">
        <w:rPr>
          <w:rFonts w:ascii="Calibri" w:hAnsi="Calibri" w:cs="Calibri"/>
          <w:szCs w:val="22"/>
        </w:rPr>
        <w:t xml:space="preserve"> his or her existing employment or contractual arrangement with a third party. In such a case, announcing the appointment before that prior relationship has been formally terminated could be detrimental both to the issuer and to the individual.</w:t>
      </w:r>
    </w:p>
    <w:p w14:paraId="51FAF121" w14:textId="77777777" w:rsidR="00A027A1" w:rsidRPr="00BE3FA1" w:rsidRDefault="00A027A1" w:rsidP="00745205">
      <w:pPr>
        <w:ind w:left="708"/>
        <w:rPr>
          <w:rFonts w:ascii="Calibri" w:hAnsi="Calibri" w:cs="Calibri"/>
          <w:szCs w:val="22"/>
        </w:rPr>
      </w:pPr>
      <w:r w:rsidRPr="00BE3FA1">
        <w:rPr>
          <w:rFonts w:ascii="Calibri" w:hAnsi="Calibri" w:cs="Calibri"/>
          <w:szCs w:val="22"/>
        </w:rPr>
        <w:t>Premature disclosure could, for example, disrupt the orderly conclusion of the individual’s current engagement, compromise the successful completion of the appointment process, or expose the individual to professional or reputational consequences in the context of the continuing relationship with the current employer or contractual counterparty. There may also be circumstances in which the current employer, once informed of the intended departure, could take measures that make the transition more difficult or otherwise prejudice the contemplated appointment.</w:t>
      </w:r>
    </w:p>
    <w:p w14:paraId="230153A9" w14:textId="77777777" w:rsidR="00A027A1" w:rsidRPr="00BE3FA1" w:rsidRDefault="00A027A1" w:rsidP="00745205">
      <w:pPr>
        <w:ind w:left="708"/>
        <w:rPr>
          <w:rFonts w:ascii="Calibri" w:hAnsi="Calibri" w:cs="Calibri"/>
          <w:szCs w:val="22"/>
        </w:rPr>
      </w:pPr>
      <w:r w:rsidRPr="00BE3FA1">
        <w:rPr>
          <w:rFonts w:ascii="Calibri" w:hAnsi="Calibri" w:cs="Calibri"/>
          <w:szCs w:val="22"/>
        </w:rPr>
        <w:t xml:space="preserve">Against this background, the issuer should be regarded as having a legitimate interest in deferring disclosure until the individual has properly terminated the previous relationship. Given that this situation arises with some frequency in practice, </w:t>
      </w:r>
      <w:r>
        <w:rPr>
          <w:rFonts w:ascii="Calibri" w:hAnsi="Calibri" w:cs="Calibri"/>
          <w:szCs w:val="22"/>
        </w:rPr>
        <w:t>EuropeanIssuers</w:t>
      </w:r>
      <w:r w:rsidRPr="00BE3FA1">
        <w:rPr>
          <w:rFonts w:ascii="Calibri" w:hAnsi="Calibri" w:cs="Calibri"/>
          <w:szCs w:val="22"/>
        </w:rPr>
        <w:t xml:space="preserve"> believes that the MAR Guidelines should expressly identify it as an example of a legitimate interest capable of supporting delayed disclosure</w:t>
      </w:r>
      <w:r>
        <w:rPr>
          <w:rFonts w:ascii="Calibri" w:hAnsi="Calibri" w:cs="Calibri"/>
          <w:szCs w:val="22"/>
        </w:rPr>
        <w:t>.</w:t>
      </w:r>
    </w:p>
    <w:p w14:paraId="21047EEB" w14:textId="77777777" w:rsidR="00A027A1" w:rsidRDefault="00A027A1" w:rsidP="00B7619F">
      <w:pPr>
        <w:rPr>
          <w:rStyle w:val="cf01"/>
          <w:rFonts w:ascii="Calibri" w:hAnsi="Calibri" w:cs="Calibri"/>
          <w:sz w:val="22"/>
          <w:szCs w:val="22"/>
        </w:rPr>
      </w:pPr>
      <w:r w:rsidRPr="00C63531">
        <w:rPr>
          <w:rFonts w:ascii="Calibri" w:hAnsi="Calibri" w:cs="Calibri"/>
          <w:color w:val="000000"/>
          <w:szCs w:val="22"/>
        </w:rPr>
        <w:t xml:space="preserve">A final remark concerns the date of publication of the final guidelines as ESMA states clearly that they are expected to be published in Q4 2026; even if guidelines are not binding, </w:t>
      </w:r>
      <w:r w:rsidRPr="00577200">
        <w:rPr>
          <w:rFonts w:ascii="Calibri" w:hAnsi="Calibri" w:cs="Calibri"/>
          <w:color w:val="000000"/>
          <w:szCs w:val="22"/>
        </w:rPr>
        <w:t>t</w:t>
      </w:r>
      <w:r w:rsidRPr="00682573">
        <w:rPr>
          <w:rStyle w:val="cf01"/>
          <w:rFonts w:ascii="Calibri" w:hAnsi="Calibri" w:cs="Calibri"/>
          <w:sz w:val="22"/>
          <w:szCs w:val="22"/>
        </w:rPr>
        <w:t xml:space="preserve">his </w:t>
      </w:r>
      <w:r w:rsidRPr="00C63531">
        <w:rPr>
          <w:rStyle w:val="cf01"/>
          <w:rFonts w:ascii="Calibri" w:hAnsi="Calibri" w:cs="Calibri"/>
          <w:sz w:val="22"/>
          <w:szCs w:val="22"/>
        </w:rPr>
        <w:t xml:space="preserve">creates a potential </w:t>
      </w:r>
      <w:r w:rsidRPr="00C63531">
        <w:rPr>
          <w:rStyle w:val="cf01"/>
          <w:rFonts w:ascii="Calibri" w:hAnsi="Calibri" w:cs="Calibri"/>
          <w:sz w:val="22"/>
          <w:szCs w:val="22"/>
        </w:rPr>
        <w:lastRenderedPageBreak/>
        <w:t>transitional gap during which issuers and national competent authorities may face uncertainty as to the applicable interpretative framework. A clarification from ESMA on how these provisions should be applied during this interim period, including whether a common supervisory approach could be envisaged at EU level, would be particularly useful to ensure consistency, legal certainty and a level playing field for issuers across Member States.</w:t>
      </w:r>
    </w:p>
    <w:permEnd w:id="1788426663"/>
    <w:p w14:paraId="0EBF8E84" w14:textId="43A1609F" w:rsidR="00B7619F" w:rsidRDefault="00B7619F" w:rsidP="00B7619F">
      <w:r>
        <w:t>&lt;ESMA_QUESTION_</w:t>
      </w:r>
      <w:r w:rsidRPr="00B7619F">
        <w:t xml:space="preserve"> </w:t>
      </w:r>
      <w:r>
        <w:t>MARG_4&gt;</w:t>
      </w:r>
    </w:p>
    <w:p w14:paraId="4F7495DE" w14:textId="77777777" w:rsidR="009B1E21" w:rsidRDefault="009B1E21" w:rsidP="009B1E21"/>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D0C2D" w14:textId="77777777" w:rsidR="00EA18DA" w:rsidRDefault="00EA18DA" w:rsidP="007E7997">
      <w:pPr>
        <w:spacing w:line="240" w:lineRule="auto"/>
      </w:pPr>
      <w:r>
        <w:separator/>
      </w:r>
    </w:p>
  </w:endnote>
  <w:endnote w:type="continuationSeparator" w:id="0">
    <w:p w14:paraId="46BA13DB" w14:textId="77777777" w:rsidR="00EA18DA" w:rsidRDefault="00EA18DA" w:rsidP="007E7997">
      <w:pPr>
        <w:spacing w:line="240" w:lineRule="auto"/>
      </w:pPr>
      <w:r>
        <w:continuationSeparator/>
      </w:r>
    </w:p>
  </w:endnote>
  <w:endnote w:type="continuationNotice" w:id="1">
    <w:p w14:paraId="581B1A61" w14:textId="77777777" w:rsidR="00EA18DA" w:rsidRDefault="00EA18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C47D6" w14:textId="77777777" w:rsidR="00EA18DA" w:rsidRDefault="00EA18DA" w:rsidP="007E7997">
      <w:pPr>
        <w:spacing w:line="240" w:lineRule="auto"/>
      </w:pPr>
      <w:r>
        <w:separator/>
      </w:r>
    </w:p>
  </w:footnote>
  <w:footnote w:type="continuationSeparator" w:id="0">
    <w:p w14:paraId="2AAC5352" w14:textId="77777777" w:rsidR="00EA18DA" w:rsidRDefault="00EA18DA" w:rsidP="007E7997">
      <w:pPr>
        <w:spacing w:line="240" w:lineRule="auto"/>
      </w:pPr>
      <w:r>
        <w:continuationSeparator/>
      </w:r>
    </w:p>
  </w:footnote>
  <w:footnote w:type="continuationNotice" w:id="1">
    <w:p w14:paraId="555A9C2D" w14:textId="77777777" w:rsidR="00EA18DA" w:rsidRDefault="00EA18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FE92F0C" w:rsidR="00D77369" w:rsidRPr="00A51B24" w:rsidRDefault="00D77369" w:rsidP="008858FE">
    <w:pPr>
      <w:pStyle w:val="Header"/>
      <w:rPr>
        <w:bCs/>
        <w:caps/>
        <w:color w:val="FF0000" w:themeColor="accent6"/>
        <w:sz w:val="22"/>
      </w:rPr>
    </w:pPr>
    <w:r w:rsidRPr="00CE6AAF">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E6AAF" w:rsidRPr="00CE6AAF">
      <w:t>1</w:t>
    </w:r>
    <w:r w:rsidR="00305F54">
      <w:t>9</w:t>
    </w:r>
    <w:r w:rsidR="00306F0E" w:rsidRPr="00CE6AAF">
      <w:t xml:space="preserve"> </w:t>
    </w:r>
    <w:r w:rsidR="00CE6AAF" w:rsidRPr="00CE6AAF">
      <w:t>February</w:t>
    </w:r>
    <w:r w:rsidR="00EB238F" w:rsidRPr="00CE6AAF">
      <w:t xml:space="preserve"> </w:t>
    </w:r>
    <w:r w:rsidR="00A51B24" w:rsidRPr="00CE6AAF">
      <w:t>2025</w:t>
    </w:r>
  </w:p>
  <w:p w14:paraId="10BD5565" w14:textId="5668FA8B" w:rsidR="008C61D9" w:rsidRDefault="00A51B24" w:rsidP="00A51B24">
    <w:pPr>
      <w:jc w:val="right"/>
    </w:pPr>
    <w:r w:rsidRPr="00A51B24">
      <w:rPr>
        <w:color w:val="001B4F" w:themeColor="text1" w:themeShade="80"/>
        <w:sz w:val="16"/>
      </w:rPr>
      <w:t>ESMA74-268544963-1</w:t>
    </w:r>
    <w:r w:rsidR="008C61D9">
      <w:rPr>
        <w:color w:val="001B4F" w:themeColor="text1" w:themeShade="80"/>
        <w:sz w:val="16"/>
      </w:rPr>
      <w:t>585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o"/>
      <w:lvlJc w:val="left"/>
      <w:pPr>
        <w:tabs>
          <w:tab w:val="num" w:pos="3774"/>
        </w:tabs>
        <w:ind w:left="3774" w:hanging="360"/>
      </w:pPr>
      <w:rPr>
        <w:rFonts w:ascii="Courier New" w:hAnsi="Courier New" w:hint="default"/>
        <w:sz w:val="20"/>
      </w:rPr>
    </w:lvl>
    <w:lvl w:ilvl="2" w:tentative="1">
      <w:start w:val="1"/>
      <w:numFmt w:val="bullet"/>
      <w:lvlText w:val=""/>
      <w:lvlJc w:val="left"/>
      <w:pPr>
        <w:tabs>
          <w:tab w:val="num" w:pos="4494"/>
        </w:tabs>
        <w:ind w:left="4494" w:hanging="360"/>
      </w:pPr>
      <w:rPr>
        <w:rFonts w:ascii="Wingdings" w:hAnsi="Wingdings" w:hint="default"/>
        <w:sz w:val="20"/>
      </w:rPr>
    </w:lvl>
    <w:lvl w:ilvl="3" w:tentative="1">
      <w:start w:val="1"/>
      <w:numFmt w:val="bullet"/>
      <w:lvlText w:val=""/>
      <w:lvlJc w:val="left"/>
      <w:pPr>
        <w:tabs>
          <w:tab w:val="num" w:pos="5214"/>
        </w:tabs>
        <w:ind w:left="5214" w:hanging="360"/>
      </w:pPr>
      <w:rPr>
        <w:rFonts w:ascii="Wingdings" w:hAnsi="Wingdings" w:hint="default"/>
        <w:sz w:val="20"/>
      </w:rPr>
    </w:lvl>
    <w:lvl w:ilvl="4" w:tentative="1">
      <w:start w:val="1"/>
      <w:numFmt w:val="bullet"/>
      <w:lvlText w:val=""/>
      <w:lvlJc w:val="left"/>
      <w:pPr>
        <w:tabs>
          <w:tab w:val="num" w:pos="5934"/>
        </w:tabs>
        <w:ind w:left="5934" w:hanging="360"/>
      </w:pPr>
      <w:rPr>
        <w:rFonts w:ascii="Wingdings" w:hAnsi="Wingdings" w:hint="default"/>
        <w:sz w:val="20"/>
      </w:rPr>
    </w:lvl>
    <w:lvl w:ilvl="5" w:tentative="1">
      <w:start w:val="1"/>
      <w:numFmt w:val="bullet"/>
      <w:lvlText w:val=""/>
      <w:lvlJc w:val="left"/>
      <w:pPr>
        <w:tabs>
          <w:tab w:val="num" w:pos="6654"/>
        </w:tabs>
        <w:ind w:left="6654" w:hanging="360"/>
      </w:pPr>
      <w:rPr>
        <w:rFonts w:ascii="Wingdings" w:hAnsi="Wingdings" w:hint="default"/>
        <w:sz w:val="20"/>
      </w:rPr>
    </w:lvl>
    <w:lvl w:ilvl="6" w:tentative="1">
      <w:start w:val="1"/>
      <w:numFmt w:val="bullet"/>
      <w:lvlText w:val=""/>
      <w:lvlJc w:val="left"/>
      <w:pPr>
        <w:tabs>
          <w:tab w:val="num" w:pos="7374"/>
        </w:tabs>
        <w:ind w:left="7374" w:hanging="360"/>
      </w:pPr>
      <w:rPr>
        <w:rFonts w:ascii="Wingdings" w:hAnsi="Wingdings" w:hint="default"/>
        <w:sz w:val="20"/>
      </w:rPr>
    </w:lvl>
    <w:lvl w:ilvl="7" w:tentative="1">
      <w:start w:val="1"/>
      <w:numFmt w:val="bullet"/>
      <w:lvlText w:val=""/>
      <w:lvlJc w:val="left"/>
      <w:pPr>
        <w:tabs>
          <w:tab w:val="num" w:pos="8094"/>
        </w:tabs>
        <w:ind w:left="8094" w:hanging="360"/>
      </w:pPr>
      <w:rPr>
        <w:rFonts w:ascii="Wingdings" w:hAnsi="Wingdings" w:hint="default"/>
        <w:sz w:val="20"/>
      </w:rPr>
    </w:lvl>
    <w:lvl w:ilvl="8"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0C165C83"/>
    <w:multiLevelType w:val="hybridMultilevel"/>
    <w:tmpl w:val="0CEAE66A"/>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0E600A"/>
    <w:multiLevelType w:val="multilevel"/>
    <w:tmpl w:val="BDF6355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A2070"/>
    <w:multiLevelType w:val="hybridMultilevel"/>
    <w:tmpl w:val="333AC98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BE0A52"/>
    <w:multiLevelType w:val="hybridMultilevel"/>
    <w:tmpl w:val="572A625E"/>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12"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5"/>
  </w:num>
  <w:num w:numId="2" w16cid:durableId="270287514">
    <w:abstractNumId w:val="8"/>
  </w:num>
  <w:num w:numId="3" w16cid:durableId="1675497260">
    <w:abstractNumId w:val="13"/>
  </w:num>
  <w:num w:numId="4" w16cid:durableId="1146706333">
    <w:abstractNumId w:val="7"/>
  </w:num>
  <w:num w:numId="5" w16cid:durableId="1502348752">
    <w:abstractNumId w:val="0"/>
  </w:num>
  <w:num w:numId="6" w16cid:durableId="1544101585">
    <w:abstractNumId w:val="9"/>
  </w:num>
  <w:num w:numId="7" w16cid:durableId="896626050">
    <w:abstractNumId w:val="16"/>
  </w:num>
  <w:num w:numId="8" w16cid:durableId="806780153">
    <w:abstractNumId w:val="5"/>
  </w:num>
  <w:num w:numId="9" w16cid:durableId="1677002603">
    <w:abstractNumId w:val="14"/>
  </w:num>
  <w:num w:numId="10" w16cid:durableId="22487393">
    <w:abstractNumId w:val="12"/>
  </w:num>
  <w:num w:numId="11" w16cid:durableId="270942799">
    <w:abstractNumId w:val="11"/>
  </w:num>
  <w:num w:numId="12" w16cid:durableId="10230698">
    <w:abstractNumId w:val="11"/>
    <w:lvlOverride w:ilvl="0">
      <w:startOverride w:val="1"/>
    </w:lvlOverride>
  </w:num>
  <w:num w:numId="13" w16cid:durableId="1914856611">
    <w:abstractNumId w:val="2"/>
  </w:num>
  <w:num w:numId="14" w16cid:durableId="2976140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10"/>
  </w:num>
  <w:num w:numId="17" w16cid:durableId="434402530">
    <w:abstractNumId w:val="3"/>
  </w:num>
  <w:num w:numId="18" w16cid:durableId="822431115">
    <w:abstractNumId w:val="1"/>
  </w:num>
  <w:num w:numId="19" w16cid:durableId="1141461261">
    <w:abstractNumId w:val="6"/>
  </w:num>
  <w:num w:numId="20" w16cid:durableId="200319246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A0nqBRfXK8j/5c65pxDlym44Ah/viWlHpiS5koD4Ru33xFULeYzep6F4RDUfkVqZfZd1gJAPZxtZnWYL7uI6Q==" w:salt="6VdvK6A6asL+c9GSx3vJz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3D1F"/>
    <w:rsid w:val="0005431E"/>
    <w:rsid w:val="000543BA"/>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15"/>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2DC8"/>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27E56"/>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C3A"/>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1E4"/>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0FE3"/>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47837"/>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1C0A"/>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800"/>
    <w:rsid w:val="002B59F0"/>
    <w:rsid w:val="002B5B01"/>
    <w:rsid w:val="002B6654"/>
    <w:rsid w:val="002B698F"/>
    <w:rsid w:val="002B73FB"/>
    <w:rsid w:val="002B7497"/>
    <w:rsid w:val="002B76FE"/>
    <w:rsid w:val="002B7955"/>
    <w:rsid w:val="002B7F6D"/>
    <w:rsid w:val="002C066F"/>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5F54"/>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897"/>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2F5"/>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137"/>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4F6"/>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0F2F"/>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C86"/>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4BC"/>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AE1"/>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3AB5"/>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534"/>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6AC"/>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5C85"/>
    <w:rsid w:val="0062601B"/>
    <w:rsid w:val="0062631D"/>
    <w:rsid w:val="006263CE"/>
    <w:rsid w:val="00626CA4"/>
    <w:rsid w:val="00626D32"/>
    <w:rsid w:val="0062734D"/>
    <w:rsid w:val="00627D59"/>
    <w:rsid w:val="00630165"/>
    <w:rsid w:val="00630419"/>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098"/>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803"/>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E791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839"/>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1E4E"/>
    <w:rsid w:val="00772158"/>
    <w:rsid w:val="0077218E"/>
    <w:rsid w:val="00772707"/>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E30"/>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C0D"/>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687"/>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0F6C"/>
    <w:rsid w:val="00851620"/>
    <w:rsid w:val="008518FE"/>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0C4"/>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1D9"/>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4CA"/>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2B4"/>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27C"/>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567"/>
    <w:rsid w:val="009A16E5"/>
    <w:rsid w:val="009A1FD2"/>
    <w:rsid w:val="009A24D8"/>
    <w:rsid w:val="009A274A"/>
    <w:rsid w:val="009A27A3"/>
    <w:rsid w:val="009A27DB"/>
    <w:rsid w:val="009A27DE"/>
    <w:rsid w:val="009A2D10"/>
    <w:rsid w:val="009A30FC"/>
    <w:rsid w:val="009A3551"/>
    <w:rsid w:val="009A376C"/>
    <w:rsid w:val="009A3B8D"/>
    <w:rsid w:val="009A3D0F"/>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2E3"/>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C99"/>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899"/>
    <w:rsid w:val="009F4ACC"/>
    <w:rsid w:val="009F4F0A"/>
    <w:rsid w:val="009F4FA0"/>
    <w:rsid w:val="009F5D1E"/>
    <w:rsid w:val="009F68D8"/>
    <w:rsid w:val="009F698E"/>
    <w:rsid w:val="009F6BF4"/>
    <w:rsid w:val="009F7481"/>
    <w:rsid w:val="009F749F"/>
    <w:rsid w:val="009F756F"/>
    <w:rsid w:val="00A0047E"/>
    <w:rsid w:val="00A0054E"/>
    <w:rsid w:val="00A00B41"/>
    <w:rsid w:val="00A00B9D"/>
    <w:rsid w:val="00A00CED"/>
    <w:rsid w:val="00A01651"/>
    <w:rsid w:val="00A01BC4"/>
    <w:rsid w:val="00A01BEB"/>
    <w:rsid w:val="00A02060"/>
    <w:rsid w:val="00A020F8"/>
    <w:rsid w:val="00A026A4"/>
    <w:rsid w:val="00A027A1"/>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313"/>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7F"/>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B8A"/>
    <w:rsid w:val="00AC4C35"/>
    <w:rsid w:val="00AC50E9"/>
    <w:rsid w:val="00AC50FD"/>
    <w:rsid w:val="00AC5949"/>
    <w:rsid w:val="00AC5AED"/>
    <w:rsid w:val="00AC5CCD"/>
    <w:rsid w:val="00AC5CED"/>
    <w:rsid w:val="00AC631D"/>
    <w:rsid w:val="00AC670D"/>
    <w:rsid w:val="00AC6BA0"/>
    <w:rsid w:val="00AC6BD6"/>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705"/>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19F"/>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4154"/>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6E6"/>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7BD"/>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0B5"/>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56A"/>
    <w:rsid w:val="00CC2E6D"/>
    <w:rsid w:val="00CC2FE7"/>
    <w:rsid w:val="00CC309D"/>
    <w:rsid w:val="00CC3711"/>
    <w:rsid w:val="00CC412F"/>
    <w:rsid w:val="00CC4D20"/>
    <w:rsid w:val="00CC5174"/>
    <w:rsid w:val="00CC5205"/>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AAF"/>
    <w:rsid w:val="00CE6ED6"/>
    <w:rsid w:val="00CE749A"/>
    <w:rsid w:val="00CF01DC"/>
    <w:rsid w:val="00CF0480"/>
    <w:rsid w:val="00CF0BAC"/>
    <w:rsid w:val="00CF14B6"/>
    <w:rsid w:val="00CF1B8C"/>
    <w:rsid w:val="00CF23A4"/>
    <w:rsid w:val="00CF253E"/>
    <w:rsid w:val="00CF3208"/>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6D9E"/>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5932"/>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0E96"/>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1F5"/>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6D14"/>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1BCC"/>
    <w:rsid w:val="00E01D6D"/>
    <w:rsid w:val="00E02098"/>
    <w:rsid w:val="00E0221B"/>
    <w:rsid w:val="00E02534"/>
    <w:rsid w:val="00E02FC9"/>
    <w:rsid w:val="00E034A3"/>
    <w:rsid w:val="00E03793"/>
    <w:rsid w:val="00E04282"/>
    <w:rsid w:val="00E04C42"/>
    <w:rsid w:val="00E04CD1"/>
    <w:rsid w:val="00E04F36"/>
    <w:rsid w:val="00E05459"/>
    <w:rsid w:val="00E0559A"/>
    <w:rsid w:val="00E056B8"/>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64A"/>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18DA"/>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EF79C4"/>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024"/>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9D7"/>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1AB"/>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83D5DB73-43CE-4B09-B847-7E4F8EAC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9F"/>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F678C2">
          <w:pPr>
            <w:pStyle w:val="2B0FF21738C1433DBAFB661809AC1F87"/>
          </w:pPr>
          <w:r w:rsidRPr="00DA1A90">
            <w:rPr>
              <w:rStyle w:val="Placehold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F678C2">
          <w:pPr>
            <w:pStyle w:val="B6E42B0E299148B09DE18600D49992C9"/>
          </w:pPr>
          <w:r w:rsidRPr="00DA1A90">
            <w:rPr>
              <w:rStyle w:val="Placehold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F678C2">
          <w:pPr>
            <w:pStyle w:val="2C1105927AE5462D802EE598D84A45F6"/>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02DC8"/>
    <w:rsid w:val="0015768C"/>
    <w:rsid w:val="001D0361"/>
    <w:rsid w:val="002B46E7"/>
    <w:rsid w:val="0034145D"/>
    <w:rsid w:val="003D1413"/>
    <w:rsid w:val="00400F2F"/>
    <w:rsid w:val="00481174"/>
    <w:rsid w:val="004C7C86"/>
    <w:rsid w:val="004D67E0"/>
    <w:rsid w:val="004E4CF9"/>
    <w:rsid w:val="00591427"/>
    <w:rsid w:val="005D66AB"/>
    <w:rsid w:val="006216AC"/>
    <w:rsid w:val="006D3543"/>
    <w:rsid w:val="00736117"/>
    <w:rsid w:val="00740052"/>
    <w:rsid w:val="00813189"/>
    <w:rsid w:val="00813EAE"/>
    <w:rsid w:val="008222A0"/>
    <w:rsid w:val="00836D47"/>
    <w:rsid w:val="00982D57"/>
    <w:rsid w:val="00993537"/>
    <w:rsid w:val="009B6B9C"/>
    <w:rsid w:val="009C0B17"/>
    <w:rsid w:val="00A44918"/>
    <w:rsid w:val="00A563E1"/>
    <w:rsid w:val="00B22006"/>
    <w:rsid w:val="00B46CAE"/>
    <w:rsid w:val="00C006E6"/>
    <w:rsid w:val="00C14154"/>
    <w:rsid w:val="00C466E6"/>
    <w:rsid w:val="00D40353"/>
    <w:rsid w:val="00DC3796"/>
    <w:rsid w:val="00DC4211"/>
    <w:rsid w:val="00F678C2"/>
    <w:rsid w:val="00F81463"/>
    <w:rsid w:val="00FA09D7"/>
    <w:rsid w:val="00FF7F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B0FF21738C1433DBAFB661809AC1F87">
    <w:name w:val="2B0FF21738C1433DBAFB661809AC1F87"/>
    <w:pPr>
      <w:spacing w:after="250" w:line="276" w:lineRule="auto"/>
      <w:jc w:val="both"/>
    </w:pPr>
    <w:rPr>
      <w:color w:val="1A1A1A" w:themeColor="background1" w:themeShade="1A"/>
      <w:szCs w:val="20"/>
      <w:lang w:eastAsia="en-US"/>
    </w:rPr>
  </w:style>
  <w:style w:type="paragraph" w:customStyle="1" w:styleId="B6E42B0E299148B09DE18600D49992C9">
    <w:name w:val="B6E42B0E299148B09DE18600D49992C9"/>
    <w:pPr>
      <w:spacing w:after="250" w:line="276" w:lineRule="auto"/>
      <w:jc w:val="both"/>
    </w:pPr>
    <w:rPr>
      <w:color w:val="1A1A1A" w:themeColor="background1" w:themeShade="1A"/>
      <w:szCs w:val="20"/>
      <w:lang w:eastAsia="en-US"/>
    </w:rPr>
  </w:style>
  <w:style w:type="paragraph" w:customStyle="1" w:styleId="2C1105927AE5462D802EE598D84A45F6">
    <w:name w:val="2C1105927AE5462D802EE598D84A45F6"/>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AR Policy Document" ma:contentTypeID="0x0101008D9E5D2C101BA04B85C7EB08C6516E400600A8528FDC84450D4D81C2352023D6E351" ma:contentTypeVersion="16" ma:contentTypeDescription="" ma:contentTypeScope="" ma:versionID="e372cb4702f9ce922c24e77bd693f8e3">
  <xsd:schema xmlns:xsd="http://www.w3.org/2001/XMLSchema" xmlns:xs="http://www.w3.org/2001/XMLSchema" xmlns:p="http://schemas.microsoft.com/office/2006/metadata/properties" xmlns:ns2="d0fb0f98-34f9-4d57-9559-eb8efd17aa5e" xmlns:ns3="f8732b39-c95d-424f-a92c-f9f157629276" targetNamespace="http://schemas.microsoft.com/office/2006/metadata/properties" ma:root="true" ma:fieldsID="e50cbc4df2e755ea7cef6b414fdf0767" ns2:_="" ns3:_="">
    <xsd:import namespace="d0fb0f98-34f9-4d57-9559-eb8efd17aa5e"/>
    <xsd:import namespace="f8732b39-c95d-424f-a92c-f9f157629276"/>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e60b3b2e-3a16-4331-bc26-d3e41291ae90"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4f99a58c-742f-4a20-98c8-851f22b5d16e"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732b39-c95d-424f-a92c-f9f15762927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1315</Value>
      <Value>282</Value>
      <Value>267</Value>
      <Value>50</Value>
    </TaxCatchAll>
    <_dlc_DocId xmlns="d0fb0f98-34f9-4d57-9559-eb8efd17aa5e">ESMA74-268544963-1585</_dlc_DocId>
    <_dlc_DocIdUrl xmlns="d0fb0f98-34f9-4d57-9559-eb8efd17aa5e">
      <Url>https://securitiesandmarketsauth.sharepoint.com/sites/sherpa-trdu/_layouts/15/DocIdRedir.aspx?ID=ESMA74-268544963-1585</Url>
      <Description>ESMA74-268544963-1585</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Listing Act - Guidelines on Delayed Disclosure</TermName>
          <TermId xmlns="http://schemas.microsoft.com/office/infopath/2007/PartnerControls">c8c43f57-2069-416a-aeea-4a41e5d9ba3f</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MAR - Listing Act</TermName>
          <TermId xmlns="http://schemas.microsoft.com/office/infopath/2007/PartnerControls">89e9d275-a97d-4b10-855d-8abac2d32127</TermId>
        </TermInfo>
      </Terms>
    </caa5aeb1a6644849b60fbe2335e12657>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80C0B-6278-4452-BA18-0F62A77E4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f8732b39-c95d-424f-a92c-f9f157629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3.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5.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2242</Words>
  <Characters>12784</Characters>
  <Application>Microsoft Office Word</Application>
  <DocSecurity>8</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European Issuers</cp:lastModifiedBy>
  <cp:revision>2</cp:revision>
  <cp:lastPrinted>2023-09-09T00:53:00Z</cp:lastPrinted>
  <dcterms:created xsi:type="dcterms:W3CDTF">2026-04-29T07:51:00Z</dcterms:created>
  <dcterms:modified xsi:type="dcterms:W3CDTF">2026-04-29T07:51:00Z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0x0101008D9E5D2C101BA04B85C7EB08C6516E400600A8528FDC84450D4D81C2352023D6E351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89bc8292-ff3e-42dc-ade1-05d5d258e6b5</vt:lpwstr>
  </property>
  <property fmtid="{D5CDD505-2E9C-101B-9397-08002B2CF9AE}" pid="8" name="Topic">
    <vt:lpwstr>267;#MAR - Listing Act|89e9d275-a97d-4b10-855d-8abac2d32127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1315;#Listing Act - Guidelines on Delayed Disclosure|c8c43f57-2069-416a-aeea-4a41e5d9ba3f</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MSIP_Label_05ae7051-b702-462d-8e81-9ac0b6085f00_Extended_MSFT_Method">
    <vt:lpwstr>Standard</vt:lpwstr>
  </property>
  <property fmtid="{D5CDD505-2E9C-101B-9397-08002B2CF9AE}" pid="19" name="MSIP_Label_05ae7051-b702-462d-8e81-9ac0b6085f00_Removed">
    <vt:lpwstr>False</vt:lpwstr>
  </property>
  <property fmtid="{D5CDD505-2E9C-101B-9397-08002B2CF9AE}" pid="20" name="MSIP_Label_05ae7051-b702-462d-8e81-9ac0b6085f00_ActionId">
    <vt:lpwstr>39f833d7-6386-4e82-a49c-e2fb28295084</vt:lpwstr>
  </property>
  <property fmtid="{D5CDD505-2E9C-101B-9397-08002B2CF9AE}" pid="21" name="MSIP_Label_05ae7051-b702-462d-8e81-9ac0b6085f00_Name">
    <vt:lpwstr>Regular</vt:lpwstr>
  </property>
  <property fmtid="{D5CDD505-2E9C-101B-9397-08002B2CF9AE}" pid="22" name="MSIP_Label_05ae7051-b702-462d-8e81-9ac0b6085f00_SetDate">
    <vt:lpwstr>2025-06-17T12:33:41Z</vt:lpwstr>
  </property>
  <property fmtid="{D5CDD505-2E9C-101B-9397-08002B2CF9AE}" pid="23" name="MSIP_Label_05ae7051-b702-462d-8e81-9ac0b6085f00_SiteId">
    <vt:lpwstr>e406f268-4ae7-4c80-8994-02493da00c03</vt:lpwstr>
  </property>
  <property fmtid="{D5CDD505-2E9C-101B-9397-08002B2CF9AE}" pid="24" name="MSIP_Label_05ae7051-b702-462d-8e81-9ac0b6085f00_Enabled">
    <vt:lpwstr>True</vt:lpwstr>
  </property>
  <property fmtid="{D5CDD505-2E9C-101B-9397-08002B2CF9AE}" pid="25" name="Sensitivity">
    <vt:lpwstr>Regular</vt:lpwstr>
  </property>
  <property fmtid="{D5CDD505-2E9C-101B-9397-08002B2CF9AE}" pid="26" name="docLang">
    <vt:lpwstr>en</vt:lpwstr>
  </property>
</Properties>
</file>