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DEA5A" w14:textId="1F63ECE7" w:rsidR="00A47BA1" w:rsidRDefault="00F01426" w:rsidP="00912AF3">
      <w:pPr>
        <w:rPr>
          <w:rFonts w:ascii="Arial" w:hAnsi="Arial" w:cs="Arial"/>
          <w:b/>
          <w:sz w:val="24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4534A459" wp14:editId="77DA33BD">
            <wp:simplePos x="0" y="0"/>
            <wp:positionH relativeFrom="column">
              <wp:posOffset>3092743</wp:posOffset>
            </wp:positionH>
            <wp:positionV relativeFrom="paragraph">
              <wp:posOffset>440206</wp:posOffset>
            </wp:positionV>
            <wp:extent cx="1136650" cy="246380"/>
            <wp:effectExtent l="0" t="0" r="6350" b="1270"/>
            <wp:wrapTopAndBottom/>
            <wp:docPr id="5" name="Picture 5" descr="Afbeeldingsresultaat voor assoni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ssonim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0" t="47843" r="27212" b="33726"/>
                    <a:stretch/>
                  </pic:blipFill>
                  <pic:spPr bwMode="auto">
                    <a:xfrm>
                      <a:off x="0" y="0"/>
                      <a:ext cx="1136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BA1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D0A7AA5" wp14:editId="19083209">
            <wp:simplePos x="0" y="0"/>
            <wp:positionH relativeFrom="column">
              <wp:posOffset>2869697</wp:posOffset>
            </wp:positionH>
            <wp:positionV relativeFrom="paragraph">
              <wp:posOffset>980384</wp:posOffset>
            </wp:positionV>
            <wp:extent cx="3162300" cy="144145"/>
            <wp:effectExtent l="0" t="0" r="0" b="8255"/>
            <wp:wrapTopAndBottom/>
            <wp:docPr id="2" name="Picture 2" descr="C:\Users\rickettd\AppData\Local\Microsoft\Windows\Temporary Internet Files\Content.Outlook\6I3Z1JO8\Coali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kettd\AppData\Local\Microsoft\Windows\Temporary Internet Files\Content.Outlook\6I3Z1JO8\Coalition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5936C93A" wp14:editId="3153C737">
            <wp:simplePos x="0" y="0"/>
            <wp:positionH relativeFrom="column">
              <wp:posOffset>1222375</wp:posOffset>
            </wp:positionH>
            <wp:positionV relativeFrom="paragraph">
              <wp:posOffset>916855</wp:posOffset>
            </wp:positionV>
            <wp:extent cx="1738630" cy="346710"/>
            <wp:effectExtent l="0" t="0" r="0" b="0"/>
            <wp:wrapTopAndBottom/>
            <wp:docPr id="6" name="irc_mi" descr="Afbeeldingsresultaat voor deutsches aktieninstitu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deutsches aktieninstitu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73FF5AB" wp14:editId="61A0AAA3">
            <wp:simplePos x="0" y="0"/>
            <wp:positionH relativeFrom="column">
              <wp:posOffset>1363672</wp:posOffset>
            </wp:positionH>
            <wp:positionV relativeFrom="paragraph">
              <wp:posOffset>386883</wp:posOffset>
            </wp:positionV>
            <wp:extent cx="1104680" cy="402989"/>
            <wp:effectExtent l="0" t="0" r="635" b="0"/>
            <wp:wrapTopAndBottom/>
            <wp:docPr id="7" name="Picture 7" descr="C:\Users\rickettd\AppData\Local\Microsoft\Windows\Temporary Internet Files\Content.Outlook\6I3Z1JO8\EuropeanIssuers-Q-high 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kettd\AppData\Local\Microsoft\Windows\Temporary Internet Files\Content.Outlook\6I3Z1JO8\EuropeanIssuers-Q-high q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80" cy="40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1B6EA3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D47C157" wp14:editId="5784127D">
            <wp:simplePos x="0" y="0"/>
            <wp:positionH relativeFrom="column">
              <wp:posOffset>209539</wp:posOffset>
            </wp:positionH>
            <wp:positionV relativeFrom="paragraph">
              <wp:posOffset>368145</wp:posOffset>
            </wp:positionV>
            <wp:extent cx="895350" cy="895350"/>
            <wp:effectExtent l="0" t="0" r="0" b="0"/>
            <wp:wrapTopAndBottom/>
            <wp:docPr id="3" name="Picture 3" descr="EAC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C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BA1" w:rsidRPr="00A47BA1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D5E7A26" wp14:editId="1CC6EDE0">
            <wp:simplePos x="0" y="0"/>
            <wp:positionH relativeFrom="column">
              <wp:posOffset>4674235</wp:posOffset>
            </wp:positionH>
            <wp:positionV relativeFrom="paragraph">
              <wp:posOffset>317500</wp:posOffset>
            </wp:positionV>
            <wp:extent cx="1162050" cy="526211"/>
            <wp:effectExtent l="0" t="0" r="0" b="7620"/>
            <wp:wrapTopAndBottom/>
            <wp:docPr id="1" name="Picture 1" descr="C:\Users\rickettd\AppData\Local\Microsoft\Windows\Temporary Internet Files\Content.Outlook\6I3Z1JO8\IG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ettd\AppData\Local\Microsoft\Windows\Temporary Internet Files\Content.Outlook\6I3Z1JO8\IGTA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4401D" w14:textId="766A3EB4" w:rsidR="00A47BA1" w:rsidRDefault="00A47BA1" w:rsidP="00912AF3">
      <w:pPr>
        <w:rPr>
          <w:rFonts w:ascii="Arial" w:hAnsi="Arial" w:cs="Arial"/>
          <w:b/>
          <w:sz w:val="24"/>
        </w:rPr>
      </w:pPr>
    </w:p>
    <w:p w14:paraId="437B6E07" w14:textId="77777777" w:rsidR="003A48A5" w:rsidRPr="00912AF3" w:rsidRDefault="00290C93" w:rsidP="00912AF3">
      <w:pPr>
        <w:rPr>
          <w:rFonts w:ascii="Arial" w:hAnsi="Arial" w:cs="Arial"/>
          <w:b/>
          <w:sz w:val="24"/>
        </w:rPr>
      </w:pPr>
      <w:r w:rsidRPr="00912AF3">
        <w:rPr>
          <w:rFonts w:ascii="Arial" w:hAnsi="Arial" w:cs="Arial"/>
          <w:b/>
          <w:sz w:val="24"/>
        </w:rPr>
        <w:t xml:space="preserve">CORPORATE END-USER COMMENTS ON EMIR REVIEW </w:t>
      </w:r>
      <w:r w:rsidR="00912AF3" w:rsidRPr="00912AF3">
        <w:rPr>
          <w:rFonts w:ascii="Arial" w:hAnsi="Arial" w:cs="Arial"/>
          <w:b/>
          <w:sz w:val="24"/>
        </w:rPr>
        <w:t>EC</w:t>
      </w:r>
      <w:r w:rsidRPr="00912AF3">
        <w:rPr>
          <w:rFonts w:ascii="Arial" w:hAnsi="Arial" w:cs="Arial"/>
          <w:b/>
          <w:sz w:val="24"/>
        </w:rPr>
        <w:t xml:space="preserve"> NON-PAPERS</w:t>
      </w:r>
    </w:p>
    <w:p w14:paraId="7138E6CB" w14:textId="1DE24A61" w:rsidR="00290C93" w:rsidRPr="00912AF3" w:rsidRDefault="00290C93">
      <w:pPr>
        <w:rPr>
          <w:rFonts w:ascii="Arial" w:hAnsi="Arial" w:cs="Arial"/>
          <w:i/>
          <w:sz w:val="20"/>
          <w:szCs w:val="20"/>
        </w:rPr>
      </w:pPr>
      <w:r w:rsidRPr="00912AF3">
        <w:rPr>
          <w:rFonts w:ascii="Arial" w:hAnsi="Arial" w:cs="Arial"/>
          <w:i/>
          <w:sz w:val="20"/>
          <w:szCs w:val="20"/>
        </w:rPr>
        <w:t>The above organisations</w:t>
      </w:r>
      <w:r w:rsidR="00DA7320">
        <w:rPr>
          <w:rFonts w:ascii="Arial" w:hAnsi="Arial" w:cs="Arial"/>
          <w:i/>
          <w:sz w:val="20"/>
          <w:szCs w:val="20"/>
        </w:rPr>
        <w:t xml:space="preserve"> </w:t>
      </w:r>
      <w:r w:rsidRPr="00912AF3">
        <w:rPr>
          <w:rFonts w:ascii="Arial" w:hAnsi="Arial" w:cs="Arial"/>
          <w:i/>
          <w:sz w:val="20"/>
          <w:szCs w:val="20"/>
        </w:rPr>
        <w:t>represent</w:t>
      </w:r>
      <w:r w:rsidR="003F7C07">
        <w:rPr>
          <w:rFonts w:ascii="Arial" w:hAnsi="Arial" w:cs="Arial"/>
          <w:i/>
          <w:sz w:val="20"/>
          <w:szCs w:val="20"/>
        </w:rPr>
        <w:t xml:space="preserve"> over </w:t>
      </w:r>
      <w:r w:rsidR="00ED3D14">
        <w:rPr>
          <w:rFonts w:ascii="Arial" w:hAnsi="Arial" w:cs="Arial"/>
          <w:i/>
          <w:sz w:val="20"/>
          <w:szCs w:val="20"/>
        </w:rPr>
        <w:t>8,0</w:t>
      </w:r>
      <w:r w:rsidR="003F7C07">
        <w:rPr>
          <w:rFonts w:ascii="Arial" w:hAnsi="Arial" w:cs="Arial"/>
          <w:i/>
          <w:sz w:val="20"/>
          <w:szCs w:val="20"/>
        </w:rPr>
        <w:t>00 companies in Europe</w:t>
      </w:r>
      <w:r w:rsidRPr="00912AF3">
        <w:rPr>
          <w:rFonts w:ascii="Arial" w:hAnsi="Arial" w:cs="Arial"/>
          <w:i/>
          <w:sz w:val="20"/>
          <w:szCs w:val="20"/>
        </w:rPr>
        <w:t xml:space="preserve">. </w:t>
      </w:r>
      <w:r w:rsidR="00DA7320">
        <w:rPr>
          <w:rFonts w:ascii="Arial" w:hAnsi="Arial" w:cs="Arial"/>
          <w:i/>
          <w:sz w:val="20"/>
          <w:szCs w:val="20"/>
        </w:rPr>
        <w:t>T</w:t>
      </w:r>
      <w:r w:rsidR="00CC11A0" w:rsidRPr="00912AF3">
        <w:rPr>
          <w:rFonts w:ascii="Arial" w:hAnsi="Arial" w:cs="Arial"/>
          <w:i/>
          <w:sz w:val="20"/>
          <w:szCs w:val="20"/>
        </w:rPr>
        <w:t xml:space="preserve">he below </w:t>
      </w:r>
      <w:r w:rsidR="00DA7320">
        <w:rPr>
          <w:rFonts w:ascii="Arial" w:hAnsi="Arial" w:cs="Arial"/>
          <w:i/>
          <w:sz w:val="20"/>
          <w:szCs w:val="20"/>
        </w:rPr>
        <w:t xml:space="preserve">comments </w:t>
      </w:r>
      <w:r w:rsidR="00CC11A0" w:rsidRPr="00912AF3">
        <w:rPr>
          <w:rFonts w:ascii="Arial" w:hAnsi="Arial" w:cs="Arial"/>
          <w:i/>
          <w:sz w:val="20"/>
          <w:szCs w:val="20"/>
        </w:rPr>
        <w:t xml:space="preserve">respond to </w:t>
      </w:r>
      <w:r w:rsidR="00DA7320">
        <w:rPr>
          <w:rFonts w:ascii="Arial" w:hAnsi="Arial" w:cs="Arial"/>
          <w:i/>
          <w:sz w:val="20"/>
          <w:szCs w:val="20"/>
        </w:rPr>
        <w:t xml:space="preserve">the </w:t>
      </w:r>
      <w:r w:rsidR="00FA02A7">
        <w:rPr>
          <w:rFonts w:ascii="Arial" w:hAnsi="Arial" w:cs="Arial"/>
          <w:i/>
          <w:sz w:val="20"/>
          <w:szCs w:val="20"/>
        </w:rPr>
        <w:t xml:space="preserve">Commission’s </w:t>
      </w:r>
      <w:r w:rsidR="00DA7320">
        <w:rPr>
          <w:rFonts w:ascii="Arial" w:hAnsi="Arial" w:cs="Arial"/>
          <w:i/>
          <w:sz w:val="20"/>
          <w:szCs w:val="20"/>
        </w:rPr>
        <w:t xml:space="preserve">EMIR Review </w:t>
      </w:r>
      <w:r w:rsidR="00FA02A7">
        <w:rPr>
          <w:rFonts w:ascii="Arial" w:hAnsi="Arial" w:cs="Arial"/>
          <w:i/>
          <w:sz w:val="20"/>
          <w:szCs w:val="20"/>
        </w:rPr>
        <w:t>Report</w:t>
      </w:r>
      <w:r w:rsidR="00FA02A7">
        <w:rPr>
          <w:rFonts w:ascii="Arial" w:hAnsi="Arial" w:cs="Arial"/>
          <w:i/>
          <w:sz w:val="20"/>
          <w:szCs w:val="20"/>
        </w:rPr>
        <w:t xml:space="preserve"> </w:t>
      </w:r>
      <w:r w:rsidR="00DA7320">
        <w:rPr>
          <w:rFonts w:ascii="Arial" w:hAnsi="Arial" w:cs="Arial"/>
          <w:i/>
          <w:sz w:val="20"/>
          <w:szCs w:val="20"/>
        </w:rPr>
        <w:t xml:space="preserve">and </w:t>
      </w:r>
      <w:r w:rsidR="00D7014F" w:rsidRPr="00912AF3">
        <w:rPr>
          <w:rFonts w:ascii="Arial" w:hAnsi="Arial" w:cs="Arial"/>
          <w:i/>
          <w:sz w:val="20"/>
          <w:szCs w:val="20"/>
        </w:rPr>
        <w:t xml:space="preserve">EC </w:t>
      </w:r>
      <w:r w:rsidRPr="00912AF3">
        <w:rPr>
          <w:rFonts w:ascii="Arial" w:hAnsi="Arial" w:cs="Arial"/>
          <w:i/>
          <w:sz w:val="20"/>
          <w:szCs w:val="20"/>
        </w:rPr>
        <w:t>Non-Paper options prepared for Member State</w:t>
      </w:r>
      <w:r w:rsidR="00D7014F" w:rsidRPr="00912AF3">
        <w:rPr>
          <w:rFonts w:ascii="Arial" w:hAnsi="Arial" w:cs="Arial"/>
          <w:i/>
          <w:sz w:val="20"/>
          <w:szCs w:val="20"/>
        </w:rPr>
        <w:t xml:space="preserve"> experts </w:t>
      </w:r>
      <w:r w:rsidR="00DA7320">
        <w:rPr>
          <w:rFonts w:ascii="Arial" w:hAnsi="Arial" w:cs="Arial"/>
          <w:i/>
          <w:sz w:val="20"/>
          <w:szCs w:val="20"/>
        </w:rPr>
        <w:t>for</w:t>
      </w:r>
      <w:r w:rsidR="00D7014F" w:rsidRPr="00912AF3">
        <w:rPr>
          <w:rFonts w:ascii="Arial" w:hAnsi="Arial" w:cs="Arial"/>
          <w:i/>
          <w:sz w:val="20"/>
          <w:szCs w:val="20"/>
        </w:rPr>
        <w:t xml:space="preserve"> 7 December</w:t>
      </w:r>
      <w:r w:rsidRPr="00912AF3">
        <w:rPr>
          <w:rFonts w:ascii="Arial" w:hAnsi="Arial" w:cs="Arial"/>
          <w:i/>
          <w:sz w:val="20"/>
          <w:szCs w:val="20"/>
        </w:rPr>
        <w:t>.</w:t>
      </w:r>
    </w:p>
    <w:p w14:paraId="2EFAFB4C" w14:textId="77777777" w:rsidR="00912AF3" w:rsidRPr="00912AF3" w:rsidRDefault="00912AF3">
      <w:pPr>
        <w:rPr>
          <w:rFonts w:ascii="Arial" w:hAnsi="Arial" w:cs="Arial"/>
          <w:b/>
          <w:sz w:val="20"/>
          <w:szCs w:val="20"/>
        </w:rPr>
      </w:pPr>
    </w:p>
    <w:p w14:paraId="6D876EB2" w14:textId="77777777" w:rsidR="00290C93" w:rsidRPr="00912AF3" w:rsidRDefault="00290C93">
      <w:p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GENERAL COMMENTS</w:t>
      </w:r>
    </w:p>
    <w:p w14:paraId="7FAE8591" w14:textId="77777777" w:rsidR="00290C93" w:rsidRPr="00912AF3" w:rsidRDefault="00694EBD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We strongly welcome the</w:t>
      </w:r>
      <w:r w:rsidR="00290C93" w:rsidRPr="00912AF3">
        <w:rPr>
          <w:rFonts w:ascii="Arial" w:hAnsi="Arial" w:cs="Arial"/>
          <w:sz w:val="20"/>
          <w:szCs w:val="20"/>
        </w:rPr>
        <w:t xml:space="preserve"> Commission’s commitment to reducing costs and alleviating burdens on non-financial corporates (NFCs) </w:t>
      </w:r>
      <w:r w:rsidR="00BF060F" w:rsidRPr="00912AF3">
        <w:rPr>
          <w:rFonts w:ascii="Arial" w:hAnsi="Arial" w:cs="Arial"/>
          <w:sz w:val="20"/>
          <w:szCs w:val="20"/>
        </w:rPr>
        <w:t xml:space="preserve">in the EMIR </w:t>
      </w:r>
      <w:r w:rsidR="0062665D">
        <w:rPr>
          <w:rFonts w:ascii="Arial" w:hAnsi="Arial" w:cs="Arial"/>
          <w:sz w:val="20"/>
          <w:szCs w:val="20"/>
        </w:rPr>
        <w:t>R</w:t>
      </w:r>
      <w:r w:rsidR="00BF060F" w:rsidRPr="00912AF3">
        <w:rPr>
          <w:rFonts w:ascii="Arial" w:hAnsi="Arial" w:cs="Arial"/>
          <w:sz w:val="20"/>
          <w:szCs w:val="20"/>
        </w:rPr>
        <w:t>eview</w:t>
      </w:r>
      <w:r w:rsidR="00290C93" w:rsidRPr="00912AF3">
        <w:rPr>
          <w:rFonts w:ascii="Arial" w:hAnsi="Arial" w:cs="Arial"/>
          <w:sz w:val="20"/>
          <w:szCs w:val="20"/>
        </w:rPr>
        <w:t>.</w:t>
      </w:r>
      <w:r w:rsidR="00BF060F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>We recognize this must be</w:t>
      </w:r>
      <w:r w:rsidR="00CC11A0" w:rsidRPr="00912AF3">
        <w:rPr>
          <w:rFonts w:ascii="Arial" w:hAnsi="Arial" w:cs="Arial"/>
          <w:sz w:val="20"/>
          <w:szCs w:val="20"/>
        </w:rPr>
        <w:t xml:space="preserve"> achieved without </w:t>
      </w:r>
      <w:r w:rsidRPr="00912AF3">
        <w:rPr>
          <w:rFonts w:ascii="Arial" w:hAnsi="Arial" w:cs="Arial"/>
          <w:sz w:val="20"/>
          <w:szCs w:val="20"/>
        </w:rPr>
        <w:t>impairing post-crisis reforms</w:t>
      </w:r>
      <w:r w:rsidR="00BE54FE" w:rsidRPr="00912AF3">
        <w:rPr>
          <w:rFonts w:ascii="Arial" w:hAnsi="Arial" w:cs="Arial"/>
          <w:sz w:val="20"/>
          <w:szCs w:val="20"/>
        </w:rPr>
        <w:t xml:space="preserve"> – upholding </w:t>
      </w:r>
      <w:r w:rsidR="00CC11A0" w:rsidRPr="00912AF3">
        <w:rPr>
          <w:rFonts w:ascii="Arial" w:hAnsi="Arial" w:cs="Arial"/>
          <w:sz w:val="20"/>
          <w:szCs w:val="20"/>
        </w:rPr>
        <w:t xml:space="preserve">increased transparency </w:t>
      </w:r>
      <w:r w:rsidR="00E65CD7" w:rsidRPr="00912AF3">
        <w:rPr>
          <w:rFonts w:ascii="Arial" w:hAnsi="Arial" w:cs="Arial"/>
          <w:sz w:val="20"/>
          <w:szCs w:val="20"/>
        </w:rPr>
        <w:t>for</w:t>
      </w:r>
      <w:r w:rsidR="00CC11A0" w:rsidRPr="00912AF3">
        <w:rPr>
          <w:rFonts w:ascii="Arial" w:hAnsi="Arial" w:cs="Arial"/>
          <w:sz w:val="20"/>
          <w:szCs w:val="20"/>
        </w:rPr>
        <w:t xml:space="preserve"> supervisors and reduced systemic risk.</w:t>
      </w:r>
    </w:p>
    <w:p w14:paraId="654702E2" w14:textId="77777777" w:rsidR="00290C93" w:rsidRPr="00912AF3" w:rsidRDefault="00694EBD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In this regard t</w:t>
      </w:r>
      <w:r w:rsidR="00CC11A0" w:rsidRPr="00912AF3">
        <w:rPr>
          <w:rFonts w:ascii="Arial" w:hAnsi="Arial" w:cs="Arial"/>
          <w:sz w:val="20"/>
          <w:szCs w:val="20"/>
        </w:rPr>
        <w:t xml:space="preserve">here are </w:t>
      </w:r>
      <w:r w:rsidR="00351833" w:rsidRPr="00912AF3">
        <w:rPr>
          <w:rFonts w:ascii="Arial" w:hAnsi="Arial" w:cs="Arial"/>
          <w:b/>
          <w:sz w:val="20"/>
          <w:szCs w:val="20"/>
        </w:rPr>
        <w:t>two</w:t>
      </w:r>
      <w:r w:rsidRPr="00912AF3">
        <w:rPr>
          <w:rFonts w:ascii="Arial" w:hAnsi="Arial" w:cs="Arial"/>
          <w:b/>
          <w:sz w:val="20"/>
          <w:szCs w:val="20"/>
        </w:rPr>
        <w:t xml:space="preserve"> key areas we would highlight</w:t>
      </w:r>
      <w:r w:rsidRPr="00912AF3">
        <w:rPr>
          <w:rFonts w:ascii="Arial" w:hAnsi="Arial" w:cs="Arial"/>
          <w:sz w:val="20"/>
          <w:szCs w:val="20"/>
        </w:rPr>
        <w:t xml:space="preserve"> </w:t>
      </w:r>
      <w:r w:rsidR="000270C4" w:rsidRPr="00912AF3">
        <w:rPr>
          <w:rFonts w:ascii="Arial" w:hAnsi="Arial" w:cs="Arial"/>
          <w:sz w:val="20"/>
          <w:szCs w:val="20"/>
        </w:rPr>
        <w:t xml:space="preserve">requiring focus </w:t>
      </w:r>
      <w:r w:rsidRPr="00912AF3">
        <w:rPr>
          <w:rFonts w:ascii="Arial" w:hAnsi="Arial" w:cs="Arial"/>
          <w:sz w:val="20"/>
          <w:szCs w:val="20"/>
        </w:rPr>
        <w:t xml:space="preserve">in </w:t>
      </w:r>
      <w:r w:rsidR="00E65CD7" w:rsidRPr="00912AF3">
        <w:rPr>
          <w:rFonts w:ascii="Arial" w:hAnsi="Arial" w:cs="Arial"/>
          <w:sz w:val="20"/>
          <w:szCs w:val="20"/>
        </w:rPr>
        <w:t>the</w:t>
      </w:r>
      <w:r w:rsidR="00CC11A0" w:rsidRPr="00912AF3">
        <w:rPr>
          <w:rFonts w:ascii="Arial" w:hAnsi="Arial" w:cs="Arial"/>
          <w:sz w:val="20"/>
          <w:szCs w:val="20"/>
        </w:rPr>
        <w:t xml:space="preserve"> EMIR Review:</w:t>
      </w:r>
    </w:p>
    <w:p w14:paraId="70469800" w14:textId="77777777" w:rsidR="00BF060F" w:rsidRPr="00912AF3" w:rsidRDefault="00694EBD" w:rsidP="00BF060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Maintain</w:t>
      </w:r>
      <w:r w:rsidR="00BE54FE" w:rsidRPr="00912AF3">
        <w:rPr>
          <w:rFonts w:ascii="Arial" w:hAnsi="Arial" w:cs="Arial"/>
          <w:b/>
          <w:sz w:val="20"/>
          <w:szCs w:val="20"/>
        </w:rPr>
        <w:t>ing</w:t>
      </w:r>
      <w:r w:rsidR="00CC11A0" w:rsidRPr="00912AF3">
        <w:rPr>
          <w:rFonts w:ascii="Arial" w:hAnsi="Arial" w:cs="Arial"/>
          <w:b/>
          <w:sz w:val="20"/>
          <w:szCs w:val="20"/>
        </w:rPr>
        <w:t xml:space="preserve"> the corporate hedging exemption</w:t>
      </w:r>
    </w:p>
    <w:p w14:paraId="5F423A86" w14:textId="77777777" w:rsidR="00CC11A0" w:rsidRPr="00912AF3" w:rsidRDefault="00694EBD" w:rsidP="00BF060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Alle</w:t>
      </w:r>
      <w:r w:rsidR="00BE54FE" w:rsidRPr="00912AF3">
        <w:rPr>
          <w:rFonts w:ascii="Arial" w:hAnsi="Arial" w:cs="Arial"/>
          <w:b/>
          <w:sz w:val="20"/>
          <w:szCs w:val="20"/>
        </w:rPr>
        <w:t>viating</w:t>
      </w:r>
      <w:r w:rsidR="00CC11A0" w:rsidRPr="00912AF3">
        <w:rPr>
          <w:rFonts w:ascii="Arial" w:hAnsi="Arial" w:cs="Arial"/>
          <w:b/>
          <w:sz w:val="20"/>
          <w:szCs w:val="20"/>
        </w:rPr>
        <w:t xml:space="preserve"> NFCs’ annual reporting burden</w:t>
      </w:r>
      <w:r w:rsidR="00351833" w:rsidRPr="00912AF3">
        <w:rPr>
          <w:rFonts w:ascii="Arial" w:hAnsi="Arial" w:cs="Arial"/>
          <w:b/>
          <w:sz w:val="20"/>
          <w:szCs w:val="20"/>
        </w:rPr>
        <w:t>s</w:t>
      </w:r>
      <w:r w:rsidR="00CC11A0" w:rsidRPr="00912AF3">
        <w:rPr>
          <w:rFonts w:ascii="Arial" w:hAnsi="Arial" w:cs="Arial"/>
          <w:sz w:val="20"/>
          <w:szCs w:val="20"/>
        </w:rPr>
        <w:t xml:space="preserve"> of €2.4</w:t>
      </w:r>
      <w:r w:rsidRPr="00912AF3">
        <w:rPr>
          <w:rFonts w:ascii="Arial" w:hAnsi="Arial" w:cs="Arial"/>
          <w:sz w:val="20"/>
          <w:szCs w:val="20"/>
        </w:rPr>
        <w:t>bn</w:t>
      </w:r>
      <w:r w:rsidR="00CC11A0" w:rsidRPr="00912AF3">
        <w:rPr>
          <w:rFonts w:ascii="Arial" w:hAnsi="Arial" w:cs="Arial"/>
          <w:sz w:val="20"/>
          <w:szCs w:val="20"/>
        </w:rPr>
        <w:t>-</w:t>
      </w:r>
      <w:r w:rsidRPr="00912AF3">
        <w:rPr>
          <w:rFonts w:ascii="Arial" w:hAnsi="Arial" w:cs="Arial"/>
          <w:sz w:val="20"/>
          <w:szCs w:val="20"/>
        </w:rPr>
        <w:t>€</w:t>
      </w:r>
      <w:r w:rsidR="00CC11A0" w:rsidRPr="00912AF3">
        <w:rPr>
          <w:rFonts w:ascii="Arial" w:hAnsi="Arial" w:cs="Arial"/>
          <w:sz w:val="20"/>
          <w:szCs w:val="20"/>
        </w:rPr>
        <w:t>4.6bn</w:t>
      </w:r>
      <w:r w:rsidR="00E65CD7" w:rsidRPr="00912AF3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CC11A0" w:rsidRPr="00912AF3">
        <w:rPr>
          <w:rFonts w:ascii="Arial" w:hAnsi="Arial" w:cs="Arial"/>
          <w:sz w:val="20"/>
          <w:szCs w:val="20"/>
        </w:rPr>
        <w:t xml:space="preserve"> by:</w:t>
      </w:r>
    </w:p>
    <w:p w14:paraId="0ACC10B5" w14:textId="77777777" w:rsidR="00CC11A0" w:rsidRPr="00912AF3" w:rsidRDefault="00694EBD" w:rsidP="00CC11A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Replacing</w:t>
      </w:r>
      <w:r w:rsidR="00351833" w:rsidRPr="00912AF3">
        <w:rPr>
          <w:rFonts w:ascii="Arial" w:hAnsi="Arial" w:cs="Arial"/>
          <w:b/>
          <w:sz w:val="20"/>
          <w:szCs w:val="20"/>
        </w:rPr>
        <w:t xml:space="preserve"> existing duplicative</w:t>
      </w:r>
      <w:r w:rsidR="00E65CD7" w:rsidRPr="00912AF3">
        <w:rPr>
          <w:rFonts w:ascii="Arial" w:hAnsi="Arial" w:cs="Arial"/>
          <w:b/>
          <w:sz w:val="20"/>
          <w:szCs w:val="20"/>
        </w:rPr>
        <w:t xml:space="preserve"> dual-sided </w:t>
      </w:r>
      <w:r w:rsidR="00351833" w:rsidRPr="00912AF3">
        <w:rPr>
          <w:rFonts w:ascii="Arial" w:hAnsi="Arial" w:cs="Arial"/>
          <w:b/>
          <w:sz w:val="20"/>
          <w:szCs w:val="20"/>
        </w:rPr>
        <w:t xml:space="preserve">reporting </w:t>
      </w:r>
      <w:r w:rsidRPr="00912AF3">
        <w:rPr>
          <w:rFonts w:ascii="Arial" w:hAnsi="Arial" w:cs="Arial"/>
          <w:b/>
          <w:sz w:val="20"/>
          <w:szCs w:val="20"/>
        </w:rPr>
        <w:t>with</w:t>
      </w:r>
      <w:r w:rsidR="00351833" w:rsidRPr="00912AF3">
        <w:rPr>
          <w:rFonts w:ascii="Arial" w:hAnsi="Arial" w:cs="Arial"/>
          <w:b/>
          <w:sz w:val="20"/>
          <w:szCs w:val="20"/>
        </w:rPr>
        <w:t xml:space="preserve"> an</w:t>
      </w:r>
      <w:r w:rsidR="00E65CD7" w:rsidRPr="00912AF3">
        <w:rPr>
          <w:rFonts w:ascii="Arial" w:hAnsi="Arial" w:cs="Arial"/>
          <w:b/>
          <w:sz w:val="20"/>
          <w:szCs w:val="20"/>
        </w:rPr>
        <w:t xml:space="preserve"> entity-based model</w:t>
      </w:r>
      <w:r w:rsidR="00E65CD7" w:rsidRPr="00912AF3">
        <w:rPr>
          <w:rFonts w:ascii="Arial" w:hAnsi="Arial" w:cs="Arial"/>
          <w:sz w:val="20"/>
          <w:szCs w:val="20"/>
        </w:rPr>
        <w:t xml:space="preserve"> –</w:t>
      </w:r>
      <w:r w:rsidR="00351833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>transferring</w:t>
      </w:r>
      <w:r w:rsidR="00CC11A0" w:rsidRPr="00912AF3">
        <w:rPr>
          <w:rFonts w:ascii="Arial" w:hAnsi="Arial" w:cs="Arial"/>
          <w:sz w:val="20"/>
          <w:szCs w:val="20"/>
        </w:rPr>
        <w:t xml:space="preserve"> </w:t>
      </w:r>
      <w:r w:rsidR="00E65CD7" w:rsidRPr="00912AF3">
        <w:rPr>
          <w:rFonts w:ascii="Arial" w:hAnsi="Arial" w:cs="Arial"/>
          <w:sz w:val="20"/>
          <w:szCs w:val="20"/>
        </w:rPr>
        <w:t xml:space="preserve">reporting </w:t>
      </w:r>
      <w:r w:rsidR="00CC11A0" w:rsidRPr="00912AF3">
        <w:rPr>
          <w:rFonts w:ascii="Arial" w:hAnsi="Arial" w:cs="Arial"/>
          <w:sz w:val="20"/>
          <w:szCs w:val="20"/>
        </w:rPr>
        <w:t>responsibility</w:t>
      </w:r>
      <w:r w:rsidR="00351833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>to</w:t>
      </w:r>
      <w:r w:rsidR="00CC11A0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>the financial counterparty in a transaction</w:t>
      </w:r>
    </w:p>
    <w:p w14:paraId="51A9A40E" w14:textId="77777777" w:rsidR="00E65CD7" w:rsidRPr="00912AF3" w:rsidRDefault="00E65CD7" w:rsidP="00CC11A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Exempting NFCs’ intra-group transactions</w:t>
      </w:r>
      <w:r w:rsidRPr="00912AF3">
        <w:rPr>
          <w:rFonts w:ascii="Arial" w:hAnsi="Arial" w:cs="Arial"/>
          <w:sz w:val="20"/>
          <w:szCs w:val="20"/>
        </w:rPr>
        <w:t xml:space="preserve"> from the reporting obligation</w:t>
      </w:r>
    </w:p>
    <w:p w14:paraId="74077EAE" w14:textId="77777777" w:rsidR="00912AF3" w:rsidRPr="00912AF3" w:rsidRDefault="00912AF3">
      <w:pPr>
        <w:rPr>
          <w:rFonts w:ascii="Arial" w:hAnsi="Arial" w:cs="Arial"/>
          <w:b/>
          <w:sz w:val="20"/>
          <w:szCs w:val="20"/>
        </w:rPr>
      </w:pPr>
    </w:p>
    <w:p w14:paraId="5E93D1FE" w14:textId="77777777" w:rsidR="00E65CD7" w:rsidRPr="00912AF3" w:rsidRDefault="00E65CD7">
      <w:p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NON-PAPER #2 –</w:t>
      </w:r>
      <w:r w:rsidR="00912AF3" w:rsidRPr="00912AF3">
        <w:rPr>
          <w:rFonts w:ascii="Arial" w:hAnsi="Arial" w:cs="Arial"/>
          <w:b/>
          <w:sz w:val="20"/>
          <w:szCs w:val="20"/>
        </w:rPr>
        <w:t xml:space="preserve"> NFCs</w:t>
      </w:r>
      <w:r w:rsidRPr="00912AF3">
        <w:rPr>
          <w:rFonts w:ascii="Arial" w:hAnsi="Arial" w:cs="Arial"/>
          <w:b/>
          <w:sz w:val="20"/>
          <w:szCs w:val="20"/>
        </w:rPr>
        <w:t xml:space="preserve"> – CALIBRATING CLEARING AND BILATERAL MARGINING REQUIREMENTS</w:t>
      </w:r>
    </w:p>
    <w:p w14:paraId="67EBF5FB" w14:textId="77777777" w:rsidR="003A48A5" w:rsidRPr="00912AF3" w:rsidRDefault="003A48A5">
      <w:pPr>
        <w:rPr>
          <w:rFonts w:ascii="Arial" w:hAnsi="Arial" w:cs="Arial"/>
          <w:i/>
          <w:sz w:val="20"/>
          <w:szCs w:val="20"/>
        </w:rPr>
      </w:pPr>
      <w:r w:rsidRPr="00912AF3">
        <w:rPr>
          <w:rFonts w:ascii="Arial" w:hAnsi="Arial" w:cs="Arial"/>
          <w:i/>
          <w:sz w:val="20"/>
          <w:szCs w:val="20"/>
        </w:rPr>
        <w:t xml:space="preserve">Well intentioned moves to simplify EMIR’s corporate hedging exemption </w:t>
      </w:r>
      <w:r w:rsidR="000270C4">
        <w:rPr>
          <w:rFonts w:ascii="Arial" w:hAnsi="Arial" w:cs="Arial"/>
          <w:i/>
          <w:sz w:val="20"/>
          <w:szCs w:val="20"/>
        </w:rPr>
        <w:t xml:space="preserve">risk </w:t>
      </w:r>
      <w:r w:rsidR="00694EBD" w:rsidRPr="00912AF3">
        <w:rPr>
          <w:rFonts w:ascii="Arial" w:hAnsi="Arial" w:cs="Arial"/>
          <w:i/>
          <w:sz w:val="20"/>
          <w:szCs w:val="20"/>
        </w:rPr>
        <w:t>inadvertently undermin</w:t>
      </w:r>
      <w:r w:rsidR="000270C4">
        <w:rPr>
          <w:rFonts w:ascii="Arial" w:hAnsi="Arial" w:cs="Arial"/>
          <w:i/>
          <w:sz w:val="20"/>
          <w:szCs w:val="20"/>
        </w:rPr>
        <w:t>ing</w:t>
      </w:r>
      <w:r w:rsidR="00694EBD" w:rsidRPr="00912AF3">
        <w:rPr>
          <w:rFonts w:ascii="Arial" w:hAnsi="Arial" w:cs="Arial"/>
          <w:i/>
          <w:sz w:val="20"/>
          <w:szCs w:val="20"/>
        </w:rPr>
        <w:t xml:space="preserve"> the</w:t>
      </w:r>
      <w:r w:rsidRPr="00912AF3">
        <w:rPr>
          <w:rFonts w:ascii="Arial" w:hAnsi="Arial" w:cs="Arial"/>
          <w:i/>
          <w:sz w:val="20"/>
          <w:szCs w:val="20"/>
        </w:rPr>
        <w:t xml:space="preserve"> fundamental principle that commercial hedging </w:t>
      </w:r>
      <w:r w:rsidR="00694EBD" w:rsidRPr="00912AF3">
        <w:rPr>
          <w:rFonts w:ascii="Arial" w:hAnsi="Arial" w:cs="Arial"/>
          <w:i/>
          <w:sz w:val="20"/>
          <w:szCs w:val="20"/>
        </w:rPr>
        <w:t>represents</w:t>
      </w:r>
      <w:r w:rsidR="00351833" w:rsidRPr="00912AF3">
        <w:rPr>
          <w:rFonts w:ascii="Arial" w:hAnsi="Arial" w:cs="Arial"/>
          <w:i/>
          <w:sz w:val="20"/>
          <w:szCs w:val="20"/>
        </w:rPr>
        <w:t xml:space="preserve"> responsible risk management</w:t>
      </w:r>
      <w:r w:rsidRPr="00912AF3">
        <w:rPr>
          <w:rFonts w:ascii="Arial" w:hAnsi="Arial" w:cs="Arial"/>
          <w:i/>
          <w:sz w:val="20"/>
          <w:szCs w:val="20"/>
        </w:rPr>
        <w:t>.</w:t>
      </w:r>
    </w:p>
    <w:p w14:paraId="62488FEC" w14:textId="77777777" w:rsidR="003A48A5" w:rsidRPr="00912AF3" w:rsidRDefault="002C0FC5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We welcome</w:t>
      </w:r>
      <w:r w:rsidR="009B185D" w:rsidRPr="00912AF3">
        <w:rPr>
          <w:rFonts w:ascii="Arial" w:hAnsi="Arial" w:cs="Arial"/>
          <w:sz w:val="20"/>
          <w:szCs w:val="20"/>
        </w:rPr>
        <w:t xml:space="preserve"> the </w:t>
      </w:r>
      <w:r w:rsidR="0020634C" w:rsidRPr="00912AF3">
        <w:rPr>
          <w:rFonts w:ascii="Arial" w:hAnsi="Arial" w:cs="Arial"/>
          <w:sz w:val="20"/>
          <w:szCs w:val="20"/>
        </w:rPr>
        <w:t>Commission’s</w:t>
      </w:r>
      <w:r w:rsidR="00694EBD" w:rsidRPr="00912AF3">
        <w:rPr>
          <w:rFonts w:ascii="Arial" w:hAnsi="Arial" w:cs="Arial"/>
          <w:sz w:val="20"/>
          <w:szCs w:val="20"/>
        </w:rPr>
        <w:t xml:space="preserve"> </w:t>
      </w:r>
      <w:r w:rsidR="009B185D" w:rsidRPr="00912AF3">
        <w:rPr>
          <w:rFonts w:ascii="Arial" w:hAnsi="Arial" w:cs="Arial"/>
          <w:sz w:val="20"/>
          <w:szCs w:val="20"/>
        </w:rPr>
        <w:t xml:space="preserve">objective to reduce costs and alleviate disproportionate burdens on NFCs, as well as </w:t>
      </w:r>
      <w:r w:rsidR="0020634C" w:rsidRPr="00912AF3">
        <w:rPr>
          <w:rFonts w:ascii="Arial" w:hAnsi="Arial" w:cs="Arial"/>
          <w:sz w:val="20"/>
          <w:szCs w:val="20"/>
        </w:rPr>
        <w:t>its</w:t>
      </w:r>
      <w:r w:rsidR="009B185D" w:rsidRPr="00912AF3">
        <w:rPr>
          <w:rFonts w:ascii="Arial" w:hAnsi="Arial" w:cs="Arial"/>
          <w:sz w:val="20"/>
          <w:szCs w:val="20"/>
        </w:rPr>
        <w:t xml:space="preserve"> recognition of</w:t>
      </w:r>
      <w:r w:rsidR="00EC5FA0" w:rsidRPr="00912AF3">
        <w:rPr>
          <w:rFonts w:ascii="Arial" w:hAnsi="Arial" w:cs="Arial"/>
          <w:sz w:val="20"/>
          <w:szCs w:val="20"/>
        </w:rPr>
        <w:t xml:space="preserve"> the fact that</w:t>
      </w:r>
      <w:r w:rsidR="009B185D" w:rsidRPr="00912AF3">
        <w:rPr>
          <w:rFonts w:ascii="Arial" w:hAnsi="Arial" w:cs="Arial"/>
          <w:sz w:val="20"/>
          <w:szCs w:val="20"/>
        </w:rPr>
        <w:t>:</w:t>
      </w:r>
    </w:p>
    <w:p w14:paraId="14C64699" w14:textId="3C3DBEBB" w:rsidR="009B185D" w:rsidRPr="00912AF3" w:rsidRDefault="00EB439E" w:rsidP="002C0FC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NFCs are of</w:t>
      </w:r>
      <w:r w:rsidR="009B185D" w:rsidRPr="00912AF3">
        <w:rPr>
          <w:rFonts w:ascii="Arial" w:hAnsi="Arial" w:cs="Arial"/>
          <w:sz w:val="20"/>
          <w:szCs w:val="20"/>
        </w:rPr>
        <w:t xml:space="preserve"> limited </w:t>
      </w:r>
      <w:r w:rsidR="00EC5FA0" w:rsidRPr="00912AF3">
        <w:rPr>
          <w:rFonts w:ascii="Arial" w:hAnsi="Arial" w:cs="Arial"/>
          <w:sz w:val="20"/>
          <w:szCs w:val="20"/>
        </w:rPr>
        <w:t>systemic relevance</w:t>
      </w:r>
    </w:p>
    <w:p w14:paraId="5A42ED69" w14:textId="77777777" w:rsidR="00EB439E" w:rsidRPr="00912AF3" w:rsidRDefault="00EB439E" w:rsidP="00EB43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EU law already captures the specific and limited cases of systemically relevant financial activity by corporates</w:t>
      </w:r>
    </w:p>
    <w:p w14:paraId="158F2AB6" w14:textId="0595D437" w:rsidR="009B185D" w:rsidRPr="00912AF3" w:rsidRDefault="009B185D" w:rsidP="002C0FC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NFCs</w:t>
      </w:r>
      <w:r w:rsidR="00FA02A7">
        <w:rPr>
          <w:rFonts w:ascii="Arial" w:hAnsi="Arial" w:cs="Arial"/>
          <w:sz w:val="20"/>
          <w:szCs w:val="20"/>
        </w:rPr>
        <w:t xml:space="preserve"> in Europe</w:t>
      </w:r>
      <w:r w:rsidR="000628DC" w:rsidRPr="00912AF3">
        <w:rPr>
          <w:rFonts w:ascii="Arial" w:hAnsi="Arial" w:cs="Arial"/>
          <w:sz w:val="20"/>
          <w:szCs w:val="20"/>
        </w:rPr>
        <w:t xml:space="preserve"> </w:t>
      </w:r>
      <w:r w:rsidR="00EC5FA0" w:rsidRPr="00912AF3">
        <w:rPr>
          <w:rFonts w:ascii="Arial" w:hAnsi="Arial" w:cs="Arial"/>
          <w:sz w:val="20"/>
          <w:szCs w:val="20"/>
        </w:rPr>
        <w:t xml:space="preserve">currently experience less favourable treatment </w:t>
      </w:r>
      <w:r w:rsidR="0020634C" w:rsidRPr="00912AF3">
        <w:rPr>
          <w:rFonts w:ascii="Arial" w:hAnsi="Arial" w:cs="Arial"/>
          <w:sz w:val="20"/>
          <w:szCs w:val="20"/>
        </w:rPr>
        <w:t>compared to their</w:t>
      </w:r>
      <w:r w:rsidR="000628DC" w:rsidRPr="00912AF3">
        <w:rPr>
          <w:rFonts w:ascii="Arial" w:hAnsi="Arial" w:cs="Arial"/>
          <w:sz w:val="20"/>
          <w:szCs w:val="20"/>
        </w:rPr>
        <w:t xml:space="preserve"> international </w:t>
      </w:r>
      <w:r w:rsidR="0020634C" w:rsidRPr="00912AF3">
        <w:rPr>
          <w:rFonts w:ascii="Arial" w:hAnsi="Arial" w:cs="Arial"/>
          <w:sz w:val="20"/>
          <w:szCs w:val="20"/>
        </w:rPr>
        <w:t>peers</w:t>
      </w:r>
    </w:p>
    <w:p w14:paraId="0B12BF91" w14:textId="6AFA94B3" w:rsidR="00FA02A7" w:rsidRDefault="00EB43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would also recall</w:t>
      </w:r>
      <w:r w:rsidR="00FA02A7">
        <w:rPr>
          <w:rFonts w:ascii="Arial" w:hAnsi="Arial" w:cs="Arial"/>
          <w:sz w:val="20"/>
          <w:szCs w:val="20"/>
        </w:rPr>
        <w:t xml:space="preserve"> that</w:t>
      </w:r>
      <w:r w:rsidR="0062709D">
        <w:rPr>
          <w:rFonts w:ascii="Arial" w:hAnsi="Arial" w:cs="Arial"/>
          <w:sz w:val="20"/>
          <w:szCs w:val="20"/>
        </w:rPr>
        <w:t xml:space="preserve"> </w:t>
      </w:r>
      <w:r w:rsidR="0062709D" w:rsidRPr="0062709D">
        <w:rPr>
          <w:rFonts w:ascii="Arial" w:hAnsi="Arial" w:cs="Arial"/>
          <w:sz w:val="20"/>
          <w:szCs w:val="20"/>
        </w:rPr>
        <w:t>c</w:t>
      </w:r>
      <w:r w:rsidR="0062709D" w:rsidRPr="00843635">
        <w:rPr>
          <w:rFonts w:ascii="Arial" w:hAnsi="Arial" w:cs="Arial"/>
          <w:sz w:val="20"/>
          <w:szCs w:val="20"/>
        </w:rPr>
        <w:t>orporate</w:t>
      </w:r>
      <w:r w:rsidR="00B637BA">
        <w:rPr>
          <w:rFonts w:ascii="Arial" w:hAnsi="Arial" w:cs="Arial"/>
          <w:sz w:val="20"/>
          <w:szCs w:val="20"/>
        </w:rPr>
        <w:t xml:space="preserve">s </w:t>
      </w:r>
      <w:r w:rsidR="0062709D" w:rsidRPr="00843635">
        <w:rPr>
          <w:rFonts w:ascii="Arial" w:hAnsi="Arial" w:cs="Arial"/>
          <w:sz w:val="20"/>
          <w:szCs w:val="20"/>
        </w:rPr>
        <w:t xml:space="preserve">have </w:t>
      </w:r>
      <w:r w:rsidR="00FA02A7">
        <w:rPr>
          <w:rFonts w:ascii="Arial" w:hAnsi="Arial" w:cs="Arial"/>
          <w:sz w:val="20"/>
          <w:szCs w:val="20"/>
        </w:rPr>
        <w:t xml:space="preserve">less-fungible (e.g. equipment) </w:t>
      </w:r>
      <w:r w:rsidR="0062709D" w:rsidRPr="00843635">
        <w:rPr>
          <w:rFonts w:ascii="Arial" w:hAnsi="Arial" w:cs="Arial"/>
          <w:sz w:val="20"/>
          <w:szCs w:val="20"/>
        </w:rPr>
        <w:t xml:space="preserve">assets </w:t>
      </w:r>
      <w:r>
        <w:rPr>
          <w:rFonts w:ascii="Arial" w:hAnsi="Arial" w:cs="Arial"/>
          <w:sz w:val="20"/>
          <w:szCs w:val="20"/>
        </w:rPr>
        <w:t xml:space="preserve">than financial counterparties </w:t>
      </w:r>
      <w:r w:rsidR="0062709D" w:rsidRPr="00843635">
        <w:rPr>
          <w:rFonts w:ascii="Arial" w:hAnsi="Arial" w:cs="Arial"/>
          <w:sz w:val="20"/>
          <w:szCs w:val="20"/>
        </w:rPr>
        <w:t xml:space="preserve">and do not have access to central banks to monetize these </w:t>
      </w:r>
      <w:r w:rsidR="0062709D">
        <w:rPr>
          <w:rFonts w:ascii="Arial" w:hAnsi="Arial" w:cs="Arial"/>
          <w:sz w:val="20"/>
          <w:szCs w:val="20"/>
        </w:rPr>
        <w:t xml:space="preserve">assets </w:t>
      </w:r>
      <w:r w:rsidR="0062709D" w:rsidRPr="00843635">
        <w:rPr>
          <w:rFonts w:ascii="Arial" w:hAnsi="Arial" w:cs="Arial"/>
          <w:sz w:val="20"/>
          <w:szCs w:val="20"/>
        </w:rPr>
        <w:t xml:space="preserve">quickly.  Accordingly, </w:t>
      </w:r>
      <w:r w:rsidR="0062709D" w:rsidRPr="00843635">
        <w:rPr>
          <w:rFonts w:ascii="Arial" w:hAnsi="Arial" w:cs="Arial"/>
          <w:b/>
          <w:sz w:val="20"/>
          <w:szCs w:val="20"/>
        </w:rPr>
        <w:t>mandatory clearing/margining has the potential to convert long-term credit risk into short-term liquidity risk and ultimately direct insolvency risk for corporate end-users</w:t>
      </w:r>
      <w:r w:rsidR="0062709D" w:rsidRPr="00843635">
        <w:rPr>
          <w:rFonts w:ascii="Arial" w:hAnsi="Arial" w:cs="Arial"/>
          <w:sz w:val="20"/>
          <w:szCs w:val="20"/>
        </w:rPr>
        <w:t>.</w:t>
      </w:r>
      <w:r w:rsidR="00FA02A7">
        <w:rPr>
          <w:rFonts w:ascii="Arial" w:hAnsi="Arial" w:cs="Arial"/>
          <w:b/>
          <w:sz w:val="20"/>
          <w:szCs w:val="20"/>
        </w:rPr>
        <w:br w:type="page"/>
      </w:r>
    </w:p>
    <w:p w14:paraId="5BF5144E" w14:textId="47BCD3FA" w:rsidR="003A48A5" w:rsidRPr="00912AF3" w:rsidRDefault="000628DC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lastRenderedPageBreak/>
        <w:t xml:space="preserve">In light of this we </w:t>
      </w:r>
      <w:r w:rsidR="000270C4">
        <w:rPr>
          <w:rFonts w:ascii="Arial" w:hAnsi="Arial" w:cs="Arial"/>
          <w:b/>
          <w:sz w:val="20"/>
          <w:szCs w:val="20"/>
        </w:rPr>
        <w:t>are</w:t>
      </w:r>
      <w:r w:rsidR="000270C4" w:rsidRPr="00912AF3">
        <w:rPr>
          <w:rFonts w:ascii="Arial" w:hAnsi="Arial" w:cs="Arial"/>
          <w:b/>
          <w:sz w:val="20"/>
          <w:szCs w:val="20"/>
        </w:rPr>
        <w:t xml:space="preserve"> </w:t>
      </w:r>
      <w:r w:rsidRPr="00912AF3">
        <w:rPr>
          <w:rFonts w:ascii="Arial" w:hAnsi="Arial" w:cs="Arial"/>
          <w:b/>
          <w:sz w:val="20"/>
          <w:szCs w:val="20"/>
        </w:rPr>
        <w:t xml:space="preserve">surprised and </w:t>
      </w:r>
      <w:r w:rsidR="00FA02A7">
        <w:rPr>
          <w:rFonts w:ascii="Arial" w:hAnsi="Arial" w:cs="Arial"/>
          <w:b/>
          <w:sz w:val="20"/>
          <w:szCs w:val="20"/>
        </w:rPr>
        <w:t>extremely</w:t>
      </w:r>
      <w:r w:rsidR="00FA02A7" w:rsidRPr="00912AF3">
        <w:rPr>
          <w:rFonts w:ascii="Arial" w:hAnsi="Arial" w:cs="Arial"/>
          <w:b/>
          <w:sz w:val="20"/>
          <w:szCs w:val="20"/>
        </w:rPr>
        <w:t xml:space="preserve"> </w:t>
      </w:r>
      <w:r w:rsidRPr="00912AF3">
        <w:rPr>
          <w:rFonts w:ascii="Arial" w:hAnsi="Arial" w:cs="Arial"/>
          <w:b/>
          <w:sz w:val="20"/>
          <w:szCs w:val="20"/>
        </w:rPr>
        <w:t xml:space="preserve">concerned that the Commission should propose </w:t>
      </w:r>
      <w:r w:rsidRPr="00912AF3">
        <w:rPr>
          <w:rFonts w:ascii="Arial" w:hAnsi="Arial" w:cs="Arial"/>
          <w:b/>
          <w:i/>
          <w:sz w:val="20"/>
          <w:szCs w:val="20"/>
        </w:rPr>
        <w:t>the deletion of EMIR’s hedging exemption and replacement with an increase in relevant thresholds</w:t>
      </w:r>
      <w:r w:rsidR="000270C4">
        <w:rPr>
          <w:rFonts w:ascii="Arial" w:hAnsi="Arial" w:cs="Arial"/>
          <w:b/>
          <w:i/>
          <w:sz w:val="20"/>
          <w:szCs w:val="20"/>
        </w:rPr>
        <w:t xml:space="preserve"> (Option 1)</w:t>
      </w:r>
      <w:r w:rsidR="00FA02A7">
        <w:rPr>
          <w:rFonts w:ascii="Arial" w:hAnsi="Arial" w:cs="Arial"/>
          <w:b/>
          <w:i/>
          <w:sz w:val="20"/>
          <w:szCs w:val="20"/>
        </w:rPr>
        <w:t>, it</w:t>
      </w:r>
      <w:r w:rsidRPr="00912AF3">
        <w:rPr>
          <w:rFonts w:ascii="Arial" w:hAnsi="Arial" w:cs="Arial"/>
          <w:sz w:val="20"/>
          <w:szCs w:val="20"/>
        </w:rPr>
        <w:t>:</w:t>
      </w:r>
    </w:p>
    <w:p w14:paraId="6418D9B6" w14:textId="321CF749" w:rsidR="000628DC" w:rsidRPr="00912AF3" w:rsidRDefault="00FA02A7" w:rsidP="000628D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628DC" w:rsidRPr="00912AF3">
        <w:rPr>
          <w:rFonts w:ascii="Arial" w:hAnsi="Arial" w:cs="Arial"/>
          <w:sz w:val="20"/>
          <w:szCs w:val="20"/>
        </w:rPr>
        <w:t xml:space="preserve">ontradicts the fundamental principle </w:t>
      </w:r>
      <w:r w:rsidR="004F2957" w:rsidRPr="00912AF3">
        <w:rPr>
          <w:rFonts w:ascii="Arial" w:hAnsi="Arial" w:cs="Arial"/>
          <w:sz w:val="20"/>
          <w:szCs w:val="20"/>
        </w:rPr>
        <w:t xml:space="preserve">that </w:t>
      </w:r>
      <w:r w:rsidR="0020634C" w:rsidRPr="00912AF3">
        <w:rPr>
          <w:rFonts w:ascii="Arial" w:hAnsi="Arial" w:cs="Arial"/>
          <w:sz w:val="20"/>
          <w:szCs w:val="20"/>
        </w:rPr>
        <w:t xml:space="preserve">commercial </w:t>
      </w:r>
      <w:r w:rsidR="004F2957" w:rsidRPr="00912AF3">
        <w:rPr>
          <w:rFonts w:ascii="Arial" w:hAnsi="Arial" w:cs="Arial"/>
          <w:sz w:val="20"/>
          <w:szCs w:val="20"/>
        </w:rPr>
        <w:t>hedging represents responsible risk-management by corporates</w:t>
      </w:r>
      <w:r w:rsidR="00EF7BBA">
        <w:rPr>
          <w:rFonts w:ascii="Arial" w:hAnsi="Arial" w:cs="Arial"/>
          <w:sz w:val="20"/>
          <w:szCs w:val="20"/>
        </w:rPr>
        <w:t xml:space="preserve">; </w:t>
      </w:r>
      <w:r w:rsidR="00EF7BBA" w:rsidRPr="00EF7BBA">
        <w:rPr>
          <w:rFonts w:ascii="Arial" w:hAnsi="Arial" w:cs="Arial"/>
          <w:i/>
          <w:sz w:val="20"/>
          <w:szCs w:val="20"/>
        </w:rPr>
        <w:t>it would effectively penalize corporates simply for doing more risk-mitigating activity</w:t>
      </w:r>
    </w:p>
    <w:p w14:paraId="2865121B" w14:textId="694AEFF7" w:rsidR="00281CF1" w:rsidRPr="00EF7BBA" w:rsidRDefault="00281CF1" w:rsidP="000628DC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Creates arbitrary caps on the level of industrial activit</w:t>
      </w:r>
      <w:r w:rsidR="00EF7BBA">
        <w:rPr>
          <w:rFonts w:ascii="Arial" w:hAnsi="Arial" w:cs="Arial"/>
          <w:sz w:val="20"/>
          <w:szCs w:val="20"/>
        </w:rPr>
        <w:t xml:space="preserve">y in Europe which can be hedged, </w:t>
      </w:r>
      <w:r w:rsidR="00EF7BBA" w:rsidRPr="00EF7BBA">
        <w:rPr>
          <w:rFonts w:ascii="Arial" w:hAnsi="Arial" w:cs="Arial"/>
          <w:i/>
          <w:sz w:val="20"/>
          <w:szCs w:val="20"/>
        </w:rPr>
        <w:t xml:space="preserve">driving corporates to either incur more risk </w:t>
      </w:r>
      <w:r w:rsidR="00656B71">
        <w:rPr>
          <w:rFonts w:ascii="Arial" w:hAnsi="Arial" w:cs="Arial"/>
          <w:i/>
          <w:sz w:val="20"/>
          <w:szCs w:val="20"/>
        </w:rPr>
        <w:t>by</w:t>
      </w:r>
      <w:r w:rsidR="00EF7BBA" w:rsidRPr="00EF7BBA">
        <w:rPr>
          <w:rFonts w:ascii="Arial" w:hAnsi="Arial" w:cs="Arial"/>
          <w:i/>
          <w:sz w:val="20"/>
          <w:szCs w:val="20"/>
        </w:rPr>
        <w:t xml:space="preserve"> leaving commercial activities unhedged, or driving hedging operations outside the EU</w:t>
      </w:r>
    </w:p>
    <w:p w14:paraId="48745A5E" w14:textId="77777777" w:rsidR="00281CF1" w:rsidRPr="00912AF3" w:rsidRDefault="00281CF1" w:rsidP="000628D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Materially increases uncertainty for corporates operating in Europe</w:t>
      </w:r>
    </w:p>
    <w:p w14:paraId="32BBA9B5" w14:textId="77777777" w:rsidR="00281CF1" w:rsidRDefault="00281CF1" w:rsidP="000628D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 xml:space="preserve">Runs counter to </w:t>
      </w:r>
      <w:r w:rsidR="0020634C" w:rsidRPr="00912AF3">
        <w:rPr>
          <w:rFonts w:ascii="Arial" w:hAnsi="Arial" w:cs="Arial"/>
          <w:sz w:val="20"/>
          <w:szCs w:val="20"/>
        </w:rPr>
        <w:t>all current Capital Markets Union</w:t>
      </w:r>
      <w:r w:rsidRPr="00912AF3">
        <w:rPr>
          <w:rFonts w:ascii="Arial" w:hAnsi="Arial" w:cs="Arial"/>
          <w:sz w:val="20"/>
          <w:szCs w:val="20"/>
        </w:rPr>
        <w:t xml:space="preserve"> </w:t>
      </w:r>
      <w:r w:rsidR="0020634C" w:rsidRPr="00912AF3">
        <w:rPr>
          <w:rFonts w:ascii="Arial" w:hAnsi="Arial" w:cs="Arial"/>
          <w:sz w:val="20"/>
          <w:szCs w:val="20"/>
        </w:rPr>
        <w:t xml:space="preserve">(CMU) </w:t>
      </w:r>
      <w:r w:rsidRPr="00912AF3">
        <w:rPr>
          <w:rFonts w:ascii="Arial" w:hAnsi="Arial" w:cs="Arial"/>
          <w:sz w:val="20"/>
          <w:szCs w:val="20"/>
        </w:rPr>
        <w:t>and EMIR Review</w:t>
      </w:r>
      <w:r w:rsidR="0020634C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 xml:space="preserve">objectives – by increasing the risk of new costs and burdens </w:t>
      </w:r>
      <w:r w:rsidR="0020634C" w:rsidRPr="00912AF3">
        <w:rPr>
          <w:rFonts w:ascii="Arial" w:hAnsi="Arial" w:cs="Arial"/>
          <w:sz w:val="20"/>
          <w:szCs w:val="20"/>
        </w:rPr>
        <w:t>for</w:t>
      </w:r>
      <w:r w:rsidRPr="00912AF3">
        <w:rPr>
          <w:rFonts w:ascii="Arial" w:hAnsi="Arial" w:cs="Arial"/>
          <w:sz w:val="20"/>
          <w:szCs w:val="20"/>
        </w:rPr>
        <w:t xml:space="preserve"> NFCs</w:t>
      </w:r>
    </w:p>
    <w:p w14:paraId="5CD62041" w14:textId="1B73DF4D" w:rsidR="003A48A5" w:rsidRPr="00912AF3" w:rsidRDefault="00281CF1">
      <w:p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We respectfully urge Option 1</w:t>
      </w:r>
      <w:r w:rsidR="00351833" w:rsidRPr="00912AF3">
        <w:rPr>
          <w:rFonts w:ascii="Arial" w:hAnsi="Arial" w:cs="Arial"/>
          <w:b/>
          <w:sz w:val="20"/>
          <w:szCs w:val="20"/>
        </w:rPr>
        <w:t xml:space="preserve"> to</w:t>
      </w:r>
      <w:r w:rsidRPr="00912AF3">
        <w:rPr>
          <w:rFonts w:ascii="Arial" w:hAnsi="Arial" w:cs="Arial"/>
          <w:b/>
          <w:sz w:val="20"/>
          <w:szCs w:val="20"/>
        </w:rPr>
        <w:t xml:space="preserve"> be dropped.</w:t>
      </w:r>
    </w:p>
    <w:p w14:paraId="755A760F" w14:textId="475F6222" w:rsidR="00EB439E" w:rsidRPr="00843635" w:rsidRDefault="00EB439E" w:rsidP="00921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Regarding </w:t>
      </w:r>
      <w:r w:rsidRPr="00843635">
        <w:rPr>
          <w:rFonts w:ascii="Arial" w:hAnsi="Arial" w:cs="Arial"/>
          <w:b/>
          <w:sz w:val="20"/>
          <w:szCs w:val="20"/>
        </w:rPr>
        <w:t>Option 2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EB439E">
        <w:rPr>
          <w:rFonts w:ascii="Arial" w:hAnsi="Arial" w:cs="Arial"/>
          <w:sz w:val="20"/>
          <w:szCs w:val="20"/>
        </w:rPr>
        <w:t>the core notions defining the qualification of NFCs</w:t>
      </w:r>
      <w:r>
        <w:rPr>
          <w:rFonts w:ascii="Arial" w:hAnsi="Arial" w:cs="Arial"/>
          <w:sz w:val="20"/>
          <w:szCs w:val="20"/>
        </w:rPr>
        <w:t xml:space="preserve">, here too </w:t>
      </w:r>
      <w:r w:rsidR="001B694D">
        <w:rPr>
          <w:rFonts w:ascii="Arial" w:hAnsi="Arial" w:cs="Arial"/>
          <w:sz w:val="20"/>
          <w:szCs w:val="20"/>
        </w:rPr>
        <w:t xml:space="preserve">it is unnecessary to introduce new interpretations </w:t>
      </w:r>
      <w:r w:rsidR="00843635">
        <w:rPr>
          <w:rFonts w:ascii="Arial" w:hAnsi="Arial" w:cs="Arial"/>
          <w:sz w:val="20"/>
          <w:szCs w:val="20"/>
        </w:rPr>
        <w:t xml:space="preserve">and </w:t>
      </w:r>
      <w:r w:rsidR="001B694D">
        <w:rPr>
          <w:rFonts w:ascii="Arial" w:hAnsi="Arial" w:cs="Arial"/>
          <w:sz w:val="20"/>
          <w:szCs w:val="20"/>
        </w:rPr>
        <w:t>the Option</w:t>
      </w:r>
      <w:r w:rsidR="00843635">
        <w:rPr>
          <w:rFonts w:ascii="Arial" w:hAnsi="Arial" w:cs="Arial"/>
          <w:sz w:val="20"/>
          <w:szCs w:val="20"/>
        </w:rPr>
        <w:t xml:space="preserve"> </w:t>
      </w:r>
      <w:r w:rsidR="00843635" w:rsidRPr="00843635">
        <w:rPr>
          <w:rFonts w:ascii="Arial" w:hAnsi="Arial" w:cs="Arial"/>
          <w:b/>
          <w:sz w:val="20"/>
          <w:szCs w:val="20"/>
        </w:rPr>
        <w:t>should be dropped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as supervisors have already demonstrated their </w:t>
      </w:r>
      <w:r w:rsidR="001B694D">
        <w:rPr>
          <w:rFonts w:ascii="Arial" w:hAnsi="Arial" w:cs="Arial"/>
          <w:sz w:val="20"/>
          <w:szCs w:val="20"/>
        </w:rPr>
        <w:t>capacity to</w:t>
      </w:r>
      <w:r>
        <w:rPr>
          <w:rFonts w:ascii="Arial" w:hAnsi="Arial" w:cs="Arial"/>
          <w:sz w:val="20"/>
          <w:szCs w:val="20"/>
        </w:rPr>
        <w:t xml:space="preserve"> oversee the current hedging definitions</w:t>
      </w:r>
      <w:r w:rsidR="001B694D">
        <w:rPr>
          <w:rFonts w:ascii="Arial" w:hAnsi="Arial" w:cs="Arial"/>
          <w:sz w:val="20"/>
          <w:szCs w:val="20"/>
        </w:rPr>
        <w:t xml:space="preserve"> effectively.</w:t>
      </w:r>
    </w:p>
    <w:p w14:paraId="7E5F316C" w14:textId="77777777" w:rsidR="00EB439E" w:rsidRDefault="00EB439E" w:rsidP="00EB4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contrast</w:t>
      </w:r>
      <w:r>
        <w:rPr>
          <w:rFonts w:ascii="Arial" w:hAnsi="Arial" w:cs="Arial"/>
          <w:sz w:val="20"/>
          <w:szCs w:val="20"/>
        </w:rPr>
        <w:t xml:space="preserve">, we </w:t>
      </w:r>
      <w:r w:rsidRPr="00843635">
        <w:rPr>
          <w:rFonts w:ascii="Arial" w:hAnsi="Arial" w:cs="Arial"/>
          <w:b/>
          <w:sz w:val="20"/>
          <w:szCs w:val="20"/>
        </w:rPr>
        <w:t>welcome i</w:t>
      </w:r>
      <w:r w:rsidRPr="00843635">
        <w:rPr>
          <w:rFonts w:ascii="Arial" w:hAnsi="Arial" w:cs="Arial"/>
          <w:b/>
          <w:sz w:val="20"/>
          <w:szCs w:val="20"/>
        </w:rPr>
        <w:t>nitiatives to facilitate NFCs’ commercial hedging activities</w:t>
      </w:r>
      <w:r>
        <w:rPr>
          <w:rFonts w:ascii="Arial" w:hAnsi="Arial" w:cs="Arial"/>
          <w:sz w:val="20"/>
          <w:szCs w:val="20"/>
        </w:rPr>
        <w:t xml:space="preserve"> </w:t>
      </w:r>
      <w:r w:rsidRPr="00B637BA">
        <w:rPr>
          <w:rFonts w:ascii="Arial" w:hAnsi="Arial" w:cs="Arial"/>
          <w:sz w:val="20"/>
          <w:szCs w:val="20"/>
        </w:rPr>
        <w:t>– including</w:t>
      </w:r>
      <w:r>
        <w:rPr>
          <w:rFonts w:ascii="Arial" w:hAnsi="Arial" w:cs="Arial"/>
          <w:sz w:val="20"/>
          <w:szCs w:val="20"/>
        </w:rPr>
        <w:t>:</w:t>
      </w:r>
    </w:p>
    <w:p w14:paraId="357E81C4" w14:textId="2B112483" w:rsidR="00EB439E" w:rsidRDefault="00EB439E" w:rsidP="0084363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43635">
        <w:rPr>
          <w:rFonts w:ascii="Arial" w:hAnsi="Arial" w:cs="Arial"/>
          <w:sz w:val="20"/>
          <w:szCs w:val="20"/>
        </w:rPr>
        <w:t>n outright exemption for NFCs from clearing and ma</w:t>
      </w:r>
      <w:r w:rsidR="001B694D">
        <w:rPr>
          <w:rFonts w:ascii="Arial" w:hAnsi="Arial" w:cs="Arial"/>
          <w:sz w:val="20"/>
          <w:szCs w:val="20"/>
        </w:rPr>
        <w:t>rgining under EMIR (Option 3)</w:t>
      </w:r>
    </w:p>
    <w:p w14:paraId="7F38FEA3" w14:textId="2CE794D7" w:rsidR="00EB439E" w:rsidRPr="00843635" w:rsidRDefault="001B694D" w:rsidP="0084363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Commission’s</w:t>
      </w:r>
      <w:r w:rsidR="00EB439E">
        <w:rPr>
          <w:rFonts w:ascii="Arial" w:hAnsi="Arial" w:cs="Arial"/>
          <w:sz w:val="20"/>
          <w:szCs w:val="20"/>
        </w:rPr>
        <w:t xml:space="preserve"> </w:t>
      </w:r>
      <w:r w:rsidR="00843635">
        <w:rPr>
          <w:rFonts w:ascii="Arial" w:hAnsi="Arial" w:cs="Arial"/>
          <w:sz w:val="20"/>
          <w:szCs w:val="20"/>
        </w:rPr>
        <w:t>highlighting concerns</w:t>
      </w:r>
      <w:r w:rsidR="00EB439E" w:rsidRPr="008436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corporates </w:t>
      </w:r>
      <w:r w:rsidR="00EB439E" w:rsidRPr="00843635">
        <w:rPr>
          <w:rFonts w:ascii="Arial" w:hAnsi="Arial" w:cs="Arial"/>
          <w:sz w:val="20"/>
          <w:szCs w:val="20"/>
        </w:rPr>
        <w:t>that each asset class</w:t>
      </w:r>
      <w:r>
        <w:rPr>
          <w:rFonts w:ascii="Arial" w:hAnsi="Arial" w:cs="Arial"/>
          <w:sz w:val="20"/>
          <w:szCs w:val="20"/>
        </w:rPr>
        <w:t xml:space="preserve"> clearing threshold</w:t>
      </w:r>
      <w:r w:rsidR="00EB439E" w:rsidRPr="00843635">
        <w:rPr>
          <w:rFonts w:ascii="Arial" w:hAnsi="Arial" w:cs="Arial"/>
          <w:sz w:val="20"/>
          <w:szCs w:val="20"/>
        </w:rPr>
        <w:t xml:space="preserve"> should be treated separately such that a breach of a threshold in one asset class should not trigger obligations for clearing or bilateral margini</w:t>
      </w:r>
      <w:r>
        <w:rPr>
          <w:rFonts w:ascii="Arial" w:hAnsi="Arial" w:cs="Arial"/>
          <w:sz w:val="20"/>
          <w:szCs w:val="20"/>
        </w:rPr>
        <w:t>ng in all other asset classes</w:t>
      </w:r>
    </w:p>
    <w:p w14:paraId="2A870042" w14:textId="77777777" w:rsidR="00EC5FA0" w:rsidRPr="00912AF3" w:rsidRDefault="00EC5FA0" w:rsidP="0020634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821A398" w14:textId="77777777" w:rsidR="0020634C" w:rsidRPr="00912AF3" w:rsidRDefault="006C49A9" w:rsidP="0020634C">
      <w:p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NON-PAPER #7</w:t>
      </w:r>
      <w:r w:rsidR="0020634C" w:rsidRPr="00912AF3">
        <w:rPr>
          <w:rFonts w:ascii="Arial" w:hAnsi="Arial" w:cs="Arial"/>
          <w:b/>
          <w:sz w:val="20"/>
          <w:szCs w:val="20"/>
        </w:rPr>
        <w:t xml:space="preserve"> </w:t>
      </w:r>
      <w:r w:rsidR="0020634C" w:rsidRPr="00912AF3">
        <w:rPr>
          <w:rFonts w:ascii="Arial" w:hAnsi="Arial" w:cs="Arial"/>
          <w:b/>
          <w:caps/>
          <w:sz w:val="20"/>
          <w:szCs w:val="20"/>
        </w:rPr>
        <w:t xml:space="preserve">– </w:t>
      </w:r>
      <w:r w:rsidRPr="00912AF3">
        <w:rPr>
          <w:rFonts w:ascii="Arial" w:hAnsi="Arial" w:cs="Arial"/>
          <w:b/>
          <w:caps/>
          <w:sz w:val="20"/>
          <w:szCs w:val="20"/>
        </w:rPr>
        <w:t>simplifying double-sided reporting</w:t>
      </w:r>
    </w:p>
    <w:p w14:paraId="5D8DB9DC" w14:textId="77777777" w:rsidR="0020634C" w:rsidRPr="00912AF3" w:rsidRDefault="00395F19" w:rsidP="0020634C">
      <w:pPr>
        <w:rPr>
          <w:rFonts w:ascii="Arial" w:hAnsi="Arial" w:cs="Arial"/>
          <w:i/>
          <w:sz w:val="20"/>
          <w:szCs w:val="20"/>
        </w:rPr>
      </w:pPr>
      <w:r w:rsidRPr="00912AF3">
        <w:rPr>
          <w:rFonts w:ascii="Arial" w:hAnsi="Arial" w:cs="Arial"/>
          <w:i/>
          <w:sz w:val="20"/>
          <w:szCs w:val="20"/>
        </w:rPr>
        <w:t xml:space="preserve">Alleviating 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NFCs’ </w:t>
      </w:r>
      <w:r w:rsidRPr="00912AF3">
        <w:rPr>
          <w:rFonts w:ascii="Arial" w:hAnsi="Arial" w:cs="Arial"/>
          <w:i/>
          <w:sz w:val="20"/>
          <w:szCs w:val="20"/>
        </w:rPr>
        <w:t>current reporting burdens can only be achieved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 by a move to</w:t>
      </w:r>
      <w:r w:rsidRPr="00912AF3">
        <w:rPr>
          <w:rFonts w:ascii="Arial" w:hAnsi="Arial" w:cs="Arial"/>
          <w:i/>
          <w:sz w:val="20"/>
          <w:szCs w:val="20"/>
        </w:rPr>
        <w:t xml:space="preserve"> 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entity-based reporting – as practiced </w:t>
      </w:r>
      <w:r w:rsidR="000C207B" w:rsidRPr="00912AF3">
        <w:rPr>
          <w:rFonts w:ascii="Arial" w:hAnsi="Arial" w:cs="Arial"/>
          <w:i/>
          <w:sz w:val="20"/>
          <w:szCs w:val="20"/>
        </w:rPr>
        <w:t>across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 other major global jurisdictions </w:t>
      </w:r>
      <w:r w:rsidR="000C207B" w:rsidRPr="00912AF3">
        <w:rPr>
          <w:rFonts w:ascii="Arial" w:hAnsi="Arial" w:cs="Arial"/>
          <w:i/>
          <w:sz w:val="20"/>
          <w:szCs w:val="20"/>
        </w:rPr>
        <w:t>such as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 US, Canada, Japan and Switzerland. This involves a </w:t>
      </w:r>
      <w:r w:rsidRPr="00912AF3">
        <w:rPr>
          <w:rFonts w:ascii="Arial" w:hAnsi="Arial" w:cs="Arial"/>
          <w:i/>
          <w:sz w:val="20"/>
          <w:szCs w:val="20"/>
        </w:rPr>
        <w:t xml:space="preserve">full transfer of reporting responsibility to the financial counterparty to </w:t>
      </w:r>
      <w:r w:rsidR="00DC4AEF" w:rsidRPr="00912AF3">
        <w:rPr>
          <w:rFonts w:ascii="Arial" w:hAnsi="Arial" w:cs="Arial"/>
          <w:i/>
          <w:sz w:val="20"/>
          <w:szCs w:val="20"/>
        </w:rPr>
        <w:t>the transaction</w:t>
      </w:r>
      <w:r w:rsidRPr="00912AF3">
        <w:rPr>
          <w:rFonts w:ascii="Arial" w:hAnsi="Arial" w:cs="Arial"/>
          <w:i/>
          <w:sz w:val="20"/>
          <w:szCs w:val="20"/>
        </w:rPr>
        <w:t xml:space="preserve">. An </w:t>
      </w:r>
      <w:r w:rsidR="00EC5FA0" w:rsidRPr="00912AF3">
        <w:rPr>
          <w:rFonts w:ascii="Arial" w:hAnsi="Arial" w:cs="Arial"/>
          <w:i/>
          <w:sz w:val="20"/>
          <w:szCs w:val="20"/>
        </w:rPr>
        <w:t xml:space="preserve">approach 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of forced delegation, </w:t>
      </w:r>
      <w:r w:rsidR="00EC5FA0" w:rsidRPr="00912AF3">
        <w:rPr>
          <w:rFonts w:ascii="Arial" w:hAnsi="Arial" w:cs="Arial"/>
          <w:i/>
          <w:sz w:val="20"/>
          <w:szCs w:val="20"/>
        </w:rPr>
        <w:t xml:space="preserve">as under SFTR, </w:t>
      </w:r>
      <w:r w:rsidR="00DC4AEF" w:rsidRPr="00912AF3">
        <w:rPr>
          <w:rFonts w:ascii="Arial" w:hAnsi="Arial" w:cs="Arial"/>
          <w:i/>
          <w:sz w:val="20"/>
          <w:szCs w:val="20"/>
        </w:rPr>
        <w:t>would</w:t>
      </w:r>
      <w:r w:rsidRPr="00912AF3">
        <w:rPr>
          <w:rFonts w:ascii="Arial" w:hAnsi="Arial" w:cs="Arial"/>
          <w:i/>
          <w:sz w:val="20"/>
          <w:szCs w:val="20"/>
        </w:rPr>
        <w:t xml:space="preserve"> </w:t>
      </w:r>
      <w:r w:rsidR="00DC4AEF" w:rsidRPr="00912AF3">
        <w:rPr>
          <w:rFonts w:ascii="Arial" w:hAnsi="Arial" w:cs="Arial"/>
          <w:i/>
          <w:sz w:val="20"/>
          <w:szCs w:val="20"/>
        </w:rPr>
        <w:t>not</w:t>
      </w:r>
      <w:r w:rsidRPr="00912AF3">
        <w:rPr>
          <w:rFonts w:ascii="Arial" w:hAnsi="Arial" w:cs="Arial"/>
          <w:i/>
          <w:sz w:val="20"/>
          <w:szCs w:val="20"/>
        </w:rPr>
        <w:t xml:space="preserve"> change 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the </w:t>
      </w:r>
      <w:r w:rsidR="000270C4">
        <w:rPr>
          <w:rFonts w:ascii="Arial" w:hAnsi="Arial" w:cs="Arial"/>
          <w:i/>
          <w:sz w:val="20"/>
          <w:szCs w:val="20"/>
        </w:rPr>
        <w:t>existing</w:t>
      </w:r>
      <w:r w:rsidR="000C207B" w:rsidRPr="00912AF3">
        <w:rPr>
          <w:rFonts w:ascii="Arial" w:hAnsi="Arial" w:cs="Arial"/>
          <w:i/>
          <w:sz w:val="20"/>
          <w:szCs w:val="20"/>
        </w:rPr>
        <w:t xml:space="preserve"> burdens</w:t>
      </w:r>
      <w:r w:rsidR="00DC4AEF" w:rsidRPr="00912AF3">
        <w:rPr>
          <w:rFonts w:ascii="Arial" w:hAnsi="Arial" w:cs="Arial"/>
          <w:i/>
          <w:sz w:val="20"/>
          <w:szCs w:val="20"/>
        </w:rPr>
        <w:t xml:space="preserve"> for</w:t>
      </w:r>
      <w:r w:rsidRPr="00912AF3">
        <w:rPr>
          <w:rFonts w:ascii="Arial" w:hAnsi="Arial" w:cs="Arial"/>
          <w:i/>
          <w:sz w:val="20"/>
          <w:szCs w:val="20"/>
        </w:rPr>
        <w:t xml:space="preserve"> corporate end-</w:t>
      </w:r>
      <w:r w:rsidR="00DC4AEF" w:rsidRPr="00912AF3">
        <w:rPr>
          <w:rFonts w:ascii="Arial" w:hAnsi="Arial" w:cs="Arial"/>
          <w:i/>
          <w:sz w:val="20"/>
          <w:szCs w:val="20"/>
        </w:rPr>
        <w:t>users under EMIR</w:t>
      </w:r>
      <w:r w:rsidR="000C207B" w:rsidRPr="00912AF3">
        <w:rPr>
          <w:rFonts w:ascii="Arial" w:hAnsi="Arial" w:cs="Arial"/>
          <w:i/>
          <w:sz w:val="20"/>
          <w:szCs w:val="20"/>
        </w:rPr>
        <w:t xml:space="preserve"> – as ultimate </w:t>
      </w:r>
      <w:r w:rsidR="000270C4">
        <w:rPr>
          <w:rFonts w:ascii="Arial" w:hAnsi="Arial" w:cs="Arial"/>
          <w:i/>
          <w:sz w:val="20"/>
          <w:szCs w:val="20"/>
        </w:rPr>
        <w:t xml:space="preserve">reporting </w:t>
      </w:r>
      <w:r w:rsidR="000C207B" w:rsidRPr="00912AF3">
        <w:rPr>
          <w:rFonts w:ascii="Arial" w:hAnsi="Arial" w:cs="Arial"/>
          <w:i/>
          <w:sz w:val="20"/>
          <w:szCs w:val="20"/>
        </w:rPr>
        <w:t xml:space="preserve">responsibility </w:t>
      </w:r>
      <w:r w:rsidR="00EC5FA0" w:rsidRPr="00912AF3">
        <w:rPr>
          <w:rFonts w:ascii="Arial" w:hAnsi="Arial" w:cs="Arial"/>
          <w:i/>
          <w:sz w:val="20"/>
          <w:szCs w:val="20"/>
        </w:rPr>
        <w:t>would not be</w:t>
      </w:r>
      <w:r w:rsidR="000C207B" w:rsidRPr="00912AF3">
        <w:rPr>
          <w:rFonts w:ascii="Arial" w:hAnsi="Arial" w:cs="Arial"/>
          <w:i/>
          <w:sz w:val="20"/>
          <w:szCs w:val="20"/>
        </w:rPr>
        <w:t xml:space="preserve"> transferred.</w:t>
      </w:r>
    </w:p>
    <w:p w14:paraId="21201D3E" w14:textId="77777777" w:rsidR="006C49A9" w:rsidRPr="00912AF3" w:rsidRDefault="006C49A9" w:rsidP="006C49A9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EMIR’s current dual-sided reporting regime is not delivering its intended objectives</w:t>
      </w:r>
      <w:r w:rsidRPr="00912AF3">
        <w:rPr>
          <w:rFonts w:ascii="Arial" w:hAnsi="Arial" w:cs="Arial"/>
          <w:sz w:val="20"/>
          <w:szCs w:val="20"/>
        </w:rPr>
        <w:t xml:space="preserve"> of effective supervisory transparency and a proportionate regime for corporate end-users. </w:t>
      </w:r>
      <w:r w:rsidR="00395F19" w:rsidRPr="00912AF3">
        <w:rPr>
          <w:rFonts w:ascii="Arial" w:hAnsi="Arial" w:cs="Arial"/>
          <w:sz w:val="20"/>
          <w:szCs w:val="20"/>
        </w:rPr>
        <w:t>Instead there are</w:t>
      </w:r>
      <w:r w:rsidRPr="00912AF3">
        <w:rPr>
          <w:rFonts w:ascii="Arial" w:hAnsi="Arial" w:cs="Arial"/>
          <w:sz w:val="20"/>
          <w:szCs w:val="20"/>
        </w:rPr>
        <w:t>:</w:t>
      </w:r>
    </w:p>
    <w:p w14:paraId="680E91B6" w14:textId="77777777" w:rsidR="006C49A9" w:rsidRPr="00912AF3" w:rsidRDefault="006C49A9" w:rsidP="006C49A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Substantial data quality issues - impairing systemic risk oversight</w:t>
      </w:r>
      <w:r w:rsidR="000270C4">
        <w:rPr>
          <w:rFonts w:ascii="Arial" w:hAnsi="Arial" w:cs="Arial"/>
          <w:sz w:val="20"/>
          <w:szCs w:val="20"/>
        </w:rPr>
        <w:t>;</w:t>
      </w:r>
      <w:r w:rsidRPr="00912AF3">
        <w:rPr>
          <w:rFonts w:ascii="Arial" w:hAnsi="Arial" w:cs="Arial"/>
          <w:sz w:val="20"/>
          <w:szCs w:val="20"/>
        </w:rPr>
        <w:t xml:space="preserve"> and</w:t>
      </w:r>
    </w:p>
    <w:p w14:paraId="11F8EA2E" w14:textId="77777777" w:rsidR="006C49A9" w:rsidRPr="00912AF3" w:rsidRDefault="006C49A9" w:rsidP="006C49A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 xml:space="preserve">Significant unforeseen costs for corporate end-users </w:t>
      </w:r>
      <w:r w:rsidR="00395F19" w:rsidRPr="00912AF3">
        <w:rPr>
          <w:rFonts w:ascii="Arial" w:hAnsi="Arial" w:cs="Arial"/>
          <w:sz w:val="20"/>
          <w:szCs w:val="20"/>
        </w:rPr>
        <w:t xml:space="preserve">– with ongoing costs for </w:t>
      </w:r>
      <w:r w:rsidR="00555175">
        <w:rPr>
          <w:rFonts w:ascii="Arial" w:hAnsi="Arial" w:cs="Arial"/>
          <w:sz w:val="20"/>
          <w:szCs w:val="20"/>
        </w:rPr>
        <w:t>European end-users</w:t>
      </w:r>
      <w:r w:rsidR="00395F19" w:rsidRPr="00912AF3">
        <w:rPr>
          <w:rFonts w:ascii="Arial" w:hAnsi="Arial" w:cs="Arial"/>
          <w:sz w:val="20"/>
          <w:szCs w:val="20"/>
        </w:rPr>
        <w:t xml:space="preserve"> estimated at €2.4bn to €4.6bn annually</w:t>
      </w:r>
    </w:p>
    <w:p w14:paraId="153CB23E" w14:textId="0B711026" w:rsidR="000C207B" w:rsidRPr="00912AF3" w:rsidRDefault="000C207B" w:rsidP="006C49A9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 xml:space="preserve">Notwithstanding the </w:t>
      </w:r>
      <w:r w:rsidRPr="00912AF3">
        <w:rPr>
          <w:rFonts w:ascii="Arial" w:hAnsi="Arial" w:cs="Arial"/>
          <w:b/>
          <w:sz w:val="20"/>
          <w:szCs w:val="20"/>
        </w:rPr>
        <w:t xml:space="preserve">need to proceed with </w:t>
      </w:r>
      <w:r w:rsidR="00A10D8E" w:rsidRPr="00912AF3">
        <w:rPr>
          <w:rFonts w:ascii="Arial" w:hAnsi="Arial" w:cs="Arial"/>
          <w:b/>
          <w:sz w:val="20"/>
          <w:szCs w:val="20"/>
        </w:rPr>
        <w:t>address</w:t>
      </w:r>
      <w:r w:rsidR="001B694D">
        <w:rPr>
          <w:rFonts w:ascii="Arial" w:hAnsi="Arial" w:cs="Arial"/>
          <w:b/>
          <w:sz w:val="20"/>
          <w:szCs w:val="20"/>
        </w:rPr>
        <w:t>ing</w:t>
      </w:r>
      <w:r w:rsidR="00A10D8E" w:rsidRPr="00912AF3">
        <w:rPr>
          <w:rFonts w:ascii="Arial" w:hAnsi="Arial" w:cs="Arial"/>
          <w:b/>
          <w:sz w:val="20"/>
          <w:szCs w:val="20"/>
        </w:rPr>
        <w:t xml:space="preserve"> current EMIR data quality issues</w:t>
      </w:r>
      <w:r w:rsidR="00A10D8E" w:rsidRPr="00912AF3">
        <w:rPr>
          <w:rFonts w:ascii="Arial" w:hAnsi="Arial" w:cs="Arial"/>
          <w:sz w:val="20"/>
          <w:szCs w:val="20"/>
        </w:rPr>
        <w:t xml:space="preserve"> </w:t>
      </w:r>
      <w:r w:rsidR="000270C4">
        <w:rPr>
          <w:rFonts w:ascii="Arial" w:hAnsi="Arial" w:cs="Arial"/>
          <w:sz w:val="20"/>
          <w:szCs w:val="20"/>
        </w:rPr>
        <w:t>(</w:t>
      </w:r>
      <w:r w:rsidR="00A10D8E" w:rsidRPr="00912AF3">
        <w:rPr>
          <w:rFonts w:ascii="Arial" w:hAnsi="Arial" w:cs="Arial"/>
          <w:sz w:val="20"/>
          <w:szCs w:val="20"/>
        </w:rPr>
        <w:t xml:space="preserve">strengthening harmonization of reporting standards and </w:t>
      </w:r>
      <w:r w:rsidR="000270C4">
        <w:rPr>
          <w:rFonts w:ascii="Arial" w:hAnsi="Arial" w:cs="Arial"/>
          <w:sz w:val="20"/>
          <w:szCs w:val="20"/>
        </w:rPr>
        <w:t>repository</w:t>
      </w:r>
      <w:r w:rsidR="000270C4" w:rsidRPr="00912AF3">
        <w:rPr>
          <w:rFonts w:ascii="Arial" w:hAnsi="Arial" w:cs="Arial"/>
          <w:sz w:val="20"/>
          <w:szCs w:val="20"/>
        </w:rPr>
        <w:t xml:space="preserve"> </w:t>
      </w:r>
      <w:r w:rsidR="00A10D8E" w:rsidRPr="00912AF3">
        <w:rPr>
          <w:rFonts w:ascii="Arial" w:hAnsi="Arial" w:cs="Arial"/>
          <w:sz w:val="20"/>
          <w:szCs w:val="20"/>
        </w:rPr>
        <w:t>trade aggregation guidelines</w:t>
      </w:r>
      <w:r w:rsidR="000270C4">
        <w:rPr>
          <w:rFonts w:ascii="Arial" w:hAnsi="Arial" w:cs="Arial"/>
          <w:sz w:val="20"/>
          <w:szCs w:val="20"/>
        </w:rPr>
        <w:t>)</w:t>
      </w:r>
      <w:r w:rsidR="00A10D8E" w:rsidRPr="00912AF3">
        <w:rPr>
          <w:rFonts w:ascii="Arial" w:hAnsi="Arial" w:cs="Arial"/>
          <w:sz w:val="20"/>
          <w:szCs w:val="20"/>
        </w:rPr>
        <w:t xml:space="preserve">, </w:t>
      </w:r>
      <w:r w:rsidR="000270C4" w:rsidRPr="00912AF3">
        <w:rPr>
          <w:rFonts w:ascii="Arial" w:hAnsi="Arial" w:cs="Arial"/>
          <w:b/>
          <w:sz w:val="20"/>
          <w:szCs w:val="20"/>
        </w:rPr>
        <w:t xml:space="preserve">in parallel </w:t>
      </w:r>
      <w:r w:rsidR="00A10D8E" w:rsidRPr="00912AF3">
        <w:rPr>
          <w:rFonts w:ascii="Arial" w:hAnsi="Arial" w:cs="Arial"/>
          <w:b/>
          <w:sz w:val="20"/>
          <w:szCs w:val="20"/>
        </w:rPr>
        <w:t>the fundamental issue of the duplicat</w:t>
      </w:r>
      <w:r w:rsidR="00555175">
        <w:rPr>
          <w:rFonts w:ascii="Arial" w:hAnsi="Arial" w:cs="Arial"/>
          <w:b/>
          <w:sz w:val="20"/>
          <w:szCs w:val="20"/>
        </w:rPr>
        <w:t>ive</w:t>
      </w:r>
      <w:r w:rsidR="00A10D8E" w:rsidRPr="00912AF3">
        <w:rPr>
          <w:rFonts w:ascii="Arial" w:hAnsi="Arial" w:cs="Arial"/>
          <w:b/>
          <w:sz w:val="20"/>
          <w:szCs w:val="20"/>
        </w:rPr>
        <w:t xml:space="preserve"> dual-sided data-reporting for NFCs needs to be addressed.</w:t>
      </w:r>
    </w:p>
    <w:p w14:paraId="548EAB98" w14:textId="77777777" w:rsidR="00C5378A" w:rsidRPr="00912AF3" w:rsidRDefault="00DB1A71" w:rsidP="006C49A9">
      <w:p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EMIR’s current delegated-reporting model</w:t>
      </w:r>
      <w:r w:rsidR="00C5378A" w:rsidRPr="00912AF3">
        <w:rPr>
          <w:rFonts w:ascii="Arial" w:hAnsi="Arial" w:cs="Arial"/>
          <w:b/>
          <w:sz w:val="20"/>
          <w:szCs w:val="20"/>
        </w:rPr>
        <w:t xml:space="preserve"> does not</w:t>
      </w:r>
      <w:r w:rsidR="00EC5FA0" w:rsidRPr="00912AF3">
        <w:rPr>
          <w:rFonts w:ascii="Arial" w:hAnsi="Arial" w:cs="Arial"/>
          <w:b/>
          <w:sz w:val="20"/>
          <w:szCs w:val="20"/>
        </w:rPr>
        <w:t xml:space="preserve"> alleviate the reporting burdens for </w:t>
      </w:r>
      <w:r w:rsidR="00C5378A" w:rsidRPr="00912AF3">
        <w:rPr>
          <w:rFonts w:ascii="Arial" w:hAnsi="Arial" w:cs="Arial"/>
          <w:b/>
          <w:sz w:val="20"/>
          <w:szCs w:val="20"/>
        </w:rPr>
        <w:t>NFCs:</w:t>
      </w:r>
    </w:p>
    <w:p w14:paraId="0059D378" w14:textId="0D7BF60A" w:rsidR="00C5378A" w:rsidRPr="00912AF3" w:rsidRDefault="00121E9B" w:rsidP="00C537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A</w:t>
      </w:r>
      <w:r w:rsidR="0062709D">
        <w:rPr>
          <w:rFonts w:ascii="Arial" w:hAnsi="Arial" w:cs="Arial"/>
          <w:sz w:val="20"/>
          <w:szCs w:val="20"/>
        </w:rPr>
        <w:t>n</w:t>
      </w:r>
      <w:r w:rsidR="00843635">
        <w:rPr>
          <w:rFonts w:ascii="Arial" w:hAnsi="Arial" w:cs="Arial"/>
          <w:sz w:val="20"/>
          <w:szCs w:val="20"/>
        </w:rPr>
        <w:t xml:space="preserve"> N</w:t>
      </w:r>
      <w:r w:rsidR="00C5378A" w:rsidRPr="00912AF3">
        <w:rPr>
          <w:rFonts w:ascii="Arial" w:hAnsi="Arial" w:cs="Arial"/>
          <w:sz w:val="20"/>
          <w:szCs w:val="20"/>
        </w:rPr>
        <w:t>FC</w:t>
      </w:r>
      <w:r w:rsidR="006C49A9" w:rsidRPr="00912AF3">
        <w:rPr>
          <w:rFonts w:ascii="Arial" w:hAnsi="Arial" w:cs="Arial"/>
          <w:sz w:val="20"/>
          <w:szCs w:val="20"/>
        </w:rPr>
        <w:t xml:space="preserve"> that delegates its reporting obligations</w:t>
      </w:r>
      <w:r w:rsidR="00C5378A" w:rsidRPr="00912AF3">
        <w:rPr>
          <w:rFonts w:ascii="Arial" w:hAnsi="Arial" w:cs="Arial"/>
          <w:sz w:val="20"/>
          <w:szCs w:val="20"/>
        </w:rPr>
        <w:t xml:space="preserve"> to a financial counterparty</w:t>
      </w:r>
      <w:r w:rsidR="006C49A9" w:rsidRPr="00912AF3">
        <w:rPr>
          <w:rFonts w:ascii="Arial" w:hAnsi="Arial" w:cs="Arial"/>
          <w:sz w:val="20"/>
          <w:szCs w:val="20"/>
        </w:rPr>
        <w:t xml:space="preserve"> remains legally responsible for the data, leaving corporate end-users with a lack of control over the data reported and</w:t>
      </w:r>
      <w:r w:rsidR="00C5378A" w:rsidRPr="00912AF3">
        <w:rPr>
          <w:rFonts w:ascii="Arial" w:hAnsi="Arial" w:cs="Arial"/>
          <w:sz w:val="20"/>
          <w:szCs w:val="20"/>
        </w:rPr>
        <w:t xml:space="preserve"> the timing of such reporting</w:t>
      </w:r>
    </w:p>
    <w:p w14:paraId="11124FA1" w14:textId="77777777" w:rsidR="00C5378A" w:rsidRPr="00912AF3" w:rsidRDefault="00C5378A" w:rsidP="00C537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This results in significant</w:t>
      </w:r>
      <w:r w:rsidR="006C49A9" w:rsidRPr="00912AF3">
        <w:rPr>
          <w:rFonts w:ascii="Arial" w:hAnsi="Arial" w:cs="Arial"/>
          <w:sz w:val="20"/>
          <w:szCs w:val="20"/>
        </w:rPr>
        <w:t xml:space="preserve"> legal risks</w:t>
      </w:r>
      <w:r w:rsidRPr="00912AF3">
        <w:rPr>
          <w:rFonts w:ascii="Arial" w:hAnsi="Arial" w:cs="Arial"/>
          <w:sz w:val="20"/>
          <w:szCs w:val="20"/>
        </w:rPr>
        <w:t xml:space="preserve"> and costs</w:t>
      </w:r>
      <w:r w:rsidR="006C49A9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>for NFCs</w:t>
      </w:r>
    </w:p>
    <w:p w14:paraId="06858D57" w14:textId="77777777" w:rsidR="006C49A9" w:rsidRDefault="00C5378A" w:rsidP="00C537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 xml:space="preserve">There is a growing trend of NFCs which </w:t>
      </w:r>
      <w:r w:rsidR="006C49A9" w:rsidRPr="00912AF3">
        <w:rPr>
          <w:rFonts w:ascii="Arial" w:hAnsi="Arial" w:cs="Arial"/>
          <w:sz w:val="20"/>
          <w:szCs w:val="20"/>
        </w:rPr>
        <w:t xml:space="preserve">had </w:t>
      </w:r>
      <w:r w:rsidR="00EC5FA0" w:rsidRPr="00912AF3">
        <w:rPr>
          <w:rFonts w:ascii="Arial" w:hAnsi="Arial" w:cs="Arial"/>
          <w:sz w:val="20"/>
          <w:szCs w:val="20"/>
        </w:rPr>
        <w:t>previously</w:t>
      </w:r>
      <w:r w:rsidR="006C49A9" w:rsidRPr="00912AF3">
        <w:rPr>
          <w:rFonts w:ascii="Arial" w:hAnsi="Arial" w:cs="Arial"/>
          <w:sz w:val="20"/>
          <w:szCs w:val="20"/>
        </w:rPr>
        <w:t xml:space="preserve"> delegat</w:t>
      </w:r>
      <w:r w:rsidR="00EC5FA0" w:rsidRPr="00912AF3">
        <w:rPr>
          <w:rFonts w:ascii="Arial" w:hAnsi="Arial" w:cs="Arial"/>
          <w:sz w:val="20"/>
          <w:szCs w:val="20"/>
        </w:rPr>
        <w:t>ed</w:t>
      </w:r>
      <w:r w:rsidRPr="00912AF3">
        <w:rPr>
          <w:rFonts w:ascii="Arial" w:hAnsi="Arial" w:cs="Arial"/>
          <w:sz w:val="20"/>
          <w:szCs w:val="20"/>
        </w:rPr>
        <w:t xml:space="preserve"> their reporting obligations, now </w:t>
      </w:r>
      <w:r w:rsidR="00EC5FA0" w:rsidRPr="00912AF3">
        <w:rPr>
          <w:rFonts w:ascii="Arial" w:hAnsi="Arial" w:cs="Arial"/>
          <w:sz w:val="20"/>
          <w:szCs w:val="20"/>
        </w:rPr>
        <w:t>moving</w:t>
      </w:r>
      <w:r w:rsidR="006C49A9" w:rsidRPr="00912AF3">
        <w:rPr>
          <w:rFonts w:ascii="Arial" w:hAnsi="Arial" w:cs="Arial"/>
          <w:sz w:val="20"/>
          <w:szCs w:val="20"/>
        </w:rPr>
        <w:t xml:space="preserve"> to self-reporting </w:t>
      </w:r>
      <w:r w:rsidR="00EC5FA0" w:rsidRPr="00912AF3">
        <w:rPr>
          <w:rFonts w:ascii="Arial" w:hAnsi="Arial" w:cs="Arial"/>
          <w:sz w:val="20"/>
          <w:szCs w:val="20"/>
        </w:rPr>
        <w:t xml:space="preserve">in order </w:t>
      </w:r>
      <w:r w:rsidR="00DB1A71" w:rsidRPr="00912AF3">
        <w:rPr>
          <w:rFonts w:ascii="Arial" w:hAnsi="Arial" w:cs="Arial"/>
          <w:sz w:val="20"/>
          <w:szCs w:val="20"/>
        </w:rPr>
        <w:t>to mitigate these legal risks</w:t>
      </w:r>
    </w:p>
    <w:p w14:paraId="4C8BE6C7" w14:textId="59E43E42" w:rsidR="00121E9B" w:rsidRPr="00912AF3" w:rsidRDefault="00121E9B" w:rsidP="00C5378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requirement to report </w:t>
      </w:r>
      <w:r w:rsidR="00843635">
        <w:rPr>
          <w:rFonts w:ascii="Arial" w:hAnsi="Arial" w:cs="Arial"/>
          <w:sz w:val="20"/>
          <w:szCs w:val="20"/>
        </w:rPr>
        <w:t>intragroup</w:t>
      </w:r>
      <w:r>
        <w:rPr>
          <w:rFonts w:ascii="Arial" w:hAnsi="Arial" w:cs="Arial"/>
          <w:sz w:val="20"/>
          <w:szCs w:val="20"/>
        </w:rPr>
        <w:t xml:space="preserve"> trades (IGT) in practice prohibits delegation for most companies </w:t>
      </w:r>
      <w:r w:rsidR="00843635">
        <w:rPr>
          <w:rFonts w:ascii="Arial" w:hAnsi="Arial" w:cs="Arial"/>
          <w:sz w:val="20"/>
          <w:szCs w:val="20"/>
        </w:rPr>
        <w:t>given the sensitivity of providing</w:t>
      </w:r>
      <w:r>
        <w:rPr>
          <w:rFonts w:ascii="Arial" w:hAnsi="Arial" w:cs="Arial"/>
          <w:sz w:val="20"/>
          <w:szCs w:val="20"/>
        </w:rPr>
        <w:t xml:space="preserve"> internal information </w:t>
      </w:r>
      <w:r w:rsidR="002F65EA">
        <w:rPr>
          <w:rFonts w:ascii="Arial" w:hAnsi="Arial" w:cs="Arial"/>
          <w:sz w:val="20"/>
          <w:szCs w:val="20"/>
        </w:rPr>
        <w:t>to external reporting counterparties</w:t>
      </w:r>
    </w:p>
    <w:p w14:paraId="2E2137B8" w14:textId="77777777" w:rsidR="00DB1A71" w:rsidRPr="00912AF3" w:rsidRDefault="00DB1A71" w:rsidP="00DB1A71">
      <w:pPr>
        <w:rPr>
          <w:rFonts w:ascii="Arial" w:hAnsi="Arial" w:cs="Arial"/>
          <w:b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Moving to a single-sided entity-based reporting model for NFCs</w:t>
      </w:r>
      <w:r w:rsidR="00EC5FA0" w:rsidRPr="00912AF3">
        <w:rPr>
          <w:rFonts w:ascii="Arial" w:hAnsi="Arial" w:cs="Arial"/>
          <w:b/>
          <w:sz w:val="20"/>
          <w:szCs w:val="20"/>
        </w:rPr>
        <w:t xml:space="preserve"> under EMIR</w:t>
      </w:r>
      <w:r w:rsidR="00EC5FA0" w:rsidRPr="00912AF3">
        <w:rPr>
          <w:rStyle w:val="FootnoteReference"/>
          <w:rFonts w:ascii="Arial" w:hAnsi="Arial" w:cs="Arial"/>
          <w:b/>
          <w:sz w:val="20"/>
          <w:szCs w:val="20"/>
        </w:rPr>
        <w:footnoteReference w:id="2"/>
      </w:r>
      <w:r w:rsidRPr="00912AF3">
        <w:rPr>
          <w:rFonts w:ascii="Arial" w:hAnsi="Arial" w:cs="Arial"/>
          <w:b/>
          <w:sz w:val="20"/>
          <w:szCs w:val="20"/>
        </w:rPr>
        <w:t xml:space="preserve"> </w:t>
      </w:r>
      <w:r w:rsidRPr="00912AF3">
        <w:rPr>
          <w:rFonts w:ascii="Arial" w:hAnsi="Arial" w:cs="Arial"/>
          <w:sz w:val="20"/>
          <w:szCs w:val="20"/>
        </w:rPr>
        <w:t>(Options 1 or 2)</w:t>
      </w:r>
      <w:r w:rsidR="00EC5FA0"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b/>
          <w:sz w:val="20"/>
          <w:szCs w:val="20"/>
        </w:rPr>
        <w:t>would mean:</w:t>
      </w:r>
    </w:p>
    <w:p w14:paraId="4B634836" w14:textId="77777777" w:rsidR="00DB1A71" w:rsidRPr="00912AF3" w:rsidRDefault="00DB1A71" w:rsidP="00DB1A7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Sourcing repository data from “golden-source” normal transaction flow</w:t>
      </w:r>
      <w:r w:rsidRPr="00912AF3">
        <w:rPr>
          <w:rFonts w:ascii="Arial" w:hAnsi="Arial" w:cs="Arial"/>
          <w:sz w:val="20"/>
          <w:szCs w:val="20"/>
        </w:rPr>
        <w:t xml:space="preserve"> - 100% confirmed between counterparties </w:t>
      </w:r>
    </w:p>
    <w:p w14:paraId="3AD62C90" w14:textId="77777777" w:rsidR="00DB1A71" w:rsidRPr="00912AF3" w:rsidRDefault="00DB1A71" w:rsidP="00DB1A7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Replacing the current separate, duplicative reporting process</w:t>
      </w:r>
    </w:p>
    <w:p w14:paraId="45786E33" w14:textId="77777777" w:rsidR="00DB1A71" w:rsidRPr="00912AF3" w:rsidRDefault="00DB1A71" w:rsidP="00DB1A7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“Golden source” data is part of the normal transaction flow and is subject to EMIR’s internal controls and risk mitigation requirements</w:t>
      </w:r>
      <w:r w:rsidR="00555175">
        <w:rPr>
          <w:rFonts w:ascii="Arial" w:hAnsi="Arial" w:cs="Arial"/>
          <w:sz w:val="20"/>
          <w:szCs w:val="20"/>
        </w:rPr>
        <w:t>,</w:t>
      </w:r>
      <w:r w:rsidRPr="00912AF3">
        <w:rPr>
          <w:rFonts w:ascii="Arial" w:hAnsi="Arial" w:cs="Arial"/>
          <w:sz w:val="20"/>
          <w:szCs w:val="20"/>
        </w:rPr>
        <w:t xml:space="preserve"> such as confirmation and portfolio reconciliation</w:t>
      </w:r>
    </w:p>
    <w:p w14:paraId="382864DB" w14:textId="4CD26E3E" w:rsidR="00DB1A71" w:rsidRPr="00912AF3" w:rsidRDefault="00DB1A71" w:rsidP="00DB1A7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No reduction in</w:t>
      </w:r>
      <w:r w:rsidR="001B694D">
        <w:rPr>
          <w:rFonts w:ascii="Arial" w:hAnsi="Arial" w:cs="Arial"/>
          <w:b/>
          <w:sz w:val="20"/>
          <w:szCs w:val="20"/>
        </w:rPr>
        <w:t xml:space="preserve"> external</w:t>
      </w:r>
      <w:r w:rsidRPr="00912AF3">
        <w:rPr>
          <w:rFonts w:ascii="Arial" w:hAnsi="Arial" w:cs="Arial"/>
          <w:b/>
          <w:sz w:val="20"/>
          <w:szCs w:val="20"/>
        </w:rPr>
        <w:t xml:space="preserve"> </w:t>
      </w:r>
      <w:r w:rsidR="00121E9B">
        <w:rPr>
          <w:rFonts w:ascii="Arial" w:hAnsi="Arial" w:cs="Arial"/>
          <w:b/>
          <w:sz w:val="20"/>
          <w:szCs w:val="20"/>
        </w:rPr>
        <w:t xml:space="preserve">market </w:t>
      </w:r>
      <w:r w:rsidRPr="00912AF3">
        <w:rPr>
          <w:rFonts w:ascii="Arial" w:hAnsi="Arial" w:cs="Arial"/>
          <w:b/>
          <w:sz w:val="20"/>
          <w:szCs w:val="20"/>
        </w:rPr>
        <w:t>trade data for supervisors</w:t>
      </w:r>
      <w:r w:rsidRPr="00912AF3">
        <w:rPr>
          <w:rFonts w:ascii="Arial" w:hAnsi="Arial" w:cs="Arial"/>
          <w:sz w:val="20"/>
          <w:szCs w:val="20"/>
        </w:rPr>
        <w:t xml:space="preserve"> – all current </w:t>
      </w:r>
      <w:r w:rsidR="001B694D">
        <w:rPr>
          <w:rFonts w:ascii="Arial" w:hAnsi="Arial" w:cs="Arial"/>
          <w:sz w:val="20"/>
          <w:szCs w:val="20"/>
        </w:rPr>
        <w:t xml:space="preserve">external </w:t>
      </w:r>
      <w:r w:rsidRPr="00912AF3">
        <w:rPr>
          <w:rFonts w:ascii="Arial" w:hAnsi="Arial" w:cs="Arial"/>
          <w:sz w:val="20"/>
          <w:szCs w:val="20"/>
        </w:rPr>
        <w:t>transactions would be subject to reporting</w:t>
      </w:r>
    </w:p>
    <w:p w14:paraId="00B20698" w14:textId="7B52898D" w:rsidR="00DB1A71" w:rsidRPr="00912AF3" w:rsidRDefault="00DB1A71" w:rsidP="00DB1A71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 xml:space="preserve">Obligation to agree assignment of responsibility for reporting </w:t>
      </w:r>
      <w:r w:rsidR="00555175">
        <w:rPr>
          <w:rFonts w:ascii="Arial" w:hAnsi="Arial" w:cs="Arial"/>
          <w:sz w:val="20"/>
          <w:szCs w:val="20"/>
        </w:rPr>
        <w:t xml:space="preserve">(e.g., </w:t>
      </w:r>
      <w:r w:rsidR="000270C4">
        <w:rPr>
          <w:rFonts w:ascii="Arial" w:hAnsi="Arial" w:cs="Arial"/>
          <w:sz w:val="20"/>
          <w:szCs w:val="20"/>
        </w:rPr>
        <w:t xml:space="preserve">if </w:t>
      </w:r>
      <w:r w:rsidR="00121E9B">
        <w:rPr>
          <w:rFonts w:ascii="Arial" w:hAnsi="Arial" w:cs="Arial"/>
          <w:sz w:val="20"/>
          <w:szCs w:val="20"/>
        </w:rPr>
        <w:t>transaction</w:t>
      </w:r>
      <w:r w:rsidR="00245934">
        <w:rPr>
          <w:rFonts w:ascii="Arial" w:hAnsi="Arial" w:cs="Arial"/>
          <w:sz w:val="20"/>
          <w:szCs w:val="20"/>
        </w:rPr>
        <w:t xml:space="preserve"> is</w:t>
      </w:r>
      <w:r w:rsidR="00121E9B">
        <w:rPr>
          <w:rFonts w:ascii="Arial" w:hAnsi="Arial" w:cs="Arial"/>
          <w:sz w:val="20"/>
          <w:szCs w:val="20"/>
        </w:rPr>
        <w:t xml:space="preserve"> </w:t>
      </w:r>
      <w:r w:rsidR="00555175">
        <w:rPr>
          <w:rFonts w:ascii="Arial" w:hAnsi="Arial" w:cs="Arial"/>
          <w:sz w:val="20"/>
          <w:szCs w:val="20"/>
        </w:rPr>
        <w:t xml:space="preserve">between two NFCs) </w:t>
      </w:r>
      <w:r w:rsidRPr="00912AF3">
        <w:rPr>
          <w:rFonts w:ascii="Arial" w:hAnsi="Arial" w:cs="Arial"/>
          <w:sz w:val="20"/>
          <w:szCs w:val="20"/>
        </w:rPr>
        <w:t>can be included in regulatory requirements for pre-execution controls between counterparties</w:t>
      </w:r>
    </w:p>
    <w:p w14:paraId="48B3B150" w14:textId="77777777" w:rsidR="00DB1A71" w:rsidRPr="00912AF3" w:rsidRDefault="00DB1A71" w:rsidP="00DB1A7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“Automatic check” remains</w:t>
      </w:r>
      <w:r w:rsidRPr="00912AF3">
        <w:rPr>
          <w:rFonts w:ascii="Arial" w:hAnsi="Arial" w:cs="Arial"/>
          <w:sz w:val="20"/>
          <w:szCs w:val="20"/>
        </w:rPr>
        <w:t xml:space="preserve"> - difference is the reconciliation of data burden moves from supervisors to counterparties</w:t>
      </w:r>
    </w:p>
    <w:p w14:paraId="30A61777" w14:textId="77777777" w:rsidR="00DB1A71" w:rsidRPr="00912AF3" w:rsidRDefault="00DB1A71" w:rsidP="00DB1A71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 xml:space="preserve">Supervisors would leverage existing portfolio reconciliation requirements between counterparties without having to recreate reconciliations from gross datasets </w:t>
      </w:r>
      <w:r w:rsidR="00555175">
        <w:rPr>
          <w:rFonts w:ascii="Arial" w:hAnsi="Arial" w:cs="Arial"/>
          <w:sz w:val="20"/>
          <w:szCs w:val="20"/>
        </w:rPr>
        <w:t xml:space="preserve">across multiple trade repositories </w:t>
      </w:r>
      <w:r w:rsidRPr="00912AF3">
        <w:rPr>
          <w:rFonts w:ascii="Arial" w:hAnsi="Arial" w:cs="Arial"/>
          <w:sz w:val="20"/>
          <w:szCs w:val="20"/>
        </w:rPr>
        <w:t>themselves</w:t>
      </w:r>
    </w:p>
    <w:p w14:paraId="6EDF0785" w14:textId="3FDC1DEC" w:rsidR="00EC5FA0" w:rsidRDefault="00DB1A71" w:rsidP="00EC5FA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 xml:space="preserve">International level playing-field </w:t>
      </w:r>
      <w:r w:rsidR="006C5607" w:rsidRPr="00912AF3">
        <w:rPr>
          <w:rFonts w:ascii="Arial" w:hAnsi="Arial" w:cs="Arial"/>
          <w:b/>
          <w:sz w:val="20"/>
          <w:szCs w:val="20"/>
        </w:rPr>
        <w:t xml:space="preserve">for EU-based </w:t>
      </w:r>
      <w:r w:rsidRPr="00912AF3">
        <w:rPr>
          <w:rFonts w:ascii="Arial" w:hAnsi="Arial" w:cs="Arial"/>
          <w:b/>
          <w:sz w:val="20"/>
          <w:szCs w:val="20"/>
        </w:rPr>
        <w:t xml:space="preserve">NFCs </w:t>
      </w:r>
      <w:r w:rsidRPr="00912AF3">
        <w:rPr>
          <w:rFonts w:ascii="Arial" w:hAnsi="Arial" w:cs="Arial"/>
          <w:sz w:val="20"/>
          <w:szCs w:val="20"/>
        </w:rPr>
        <w:t xml:space="preserve">- major jurisdictions around the world such as US, Canada, Japan and Switzerland already apply an entity-based model for NFCs and, contrary to statements in the non-paper, </w:t>
      </w:r>
      <w:r w:rsidR="00555175">
        <w:rPr>
          <w:rFonts w:ascii="Arial" w:hAnsi="Arial" w:cs="Arial"/>
          <w:sz w:val="20"/>
          <w:szCs w:val="20"/>
        </w:rPr>
        <w:t>we are unaware of any</w:t>
      </w:r>
      <w:r w:rsidRPr="00912AF3">
        <w:rPr>
          <w:rFonts w:ascii="Arial" w:hAnsi="Arial" w:cs="Arial"/>
          <w:sz w:val="20"/>
          <w:szCs w:val="20"/>
        </w:rPr>
        <w:t xml:space="preserve"> stated plans to move away from this model</w:t>
      </w:r>
    </w:p>
    <w:p w14:paraId="6C158A95" w14:textId="5B0B582F" w:rsidR="00FD22C5" w:rsidRPr="00FD22C5" w:rsidRDefault="001B694D" w:rsidP="00FD2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worth noting </w:t>
      </w:r>
      <w:r w:rsidRPr="00FD22C5">
        <w:rPr>
          <w:rFonts w:ascii="Arial" w:hAnsi="Arial" w:cs="Arial"/>
          <w:sz w:val="20"/>
          <w:szCs w:val="20"/>
        </w:rPr>
        <w:t>that</w:t>
      </w:r>
      <w:r w:rsidRPr="00FD22C5">
        <w:rPr>
          <w:rFonts w:ascii="Arial" w:hAnsi="Arial" w:cs="Arial"/>
          <w:b/>
          <w:sz w:val="20"/>
          <w:szCs w:val="20"/>
        </w:rPr>
        <w:t xml:space="preserve"> </w:t>
      </w:r>
      <w:r w:rsidR="00FD22C5" w:rsidRPr="00FD22C5">
        <w:rPr>
          <w:rFonts w:ascii="Arial" w:hAnsi="Arial" w:cs="Arial"/>
          <w:b/>
          <w:sz w:val="20"/>
          <w:szCs w:val="20"/>
        </w:rPr>
        <w:t xml:space="preserve">the principle of </w:t>
      </w:r>
      <w:r w:rsidR="00895A55" w:rsidRPr="00FD22C5">
        <w:rPr>
          <w:rFonts w:ascii="Arial" w:hAnsi="Arial" w:cs="Arial"/>
          <w:b/>
          <w:sz w:val="20"/>
          <w:szCs w:val="20"/>
        </w:rPr>
        <w:t xml:space="preserve">single-sided reporting </w:t>
      </w:r>
      <w:r w:rsidR="00FD22C5" w:rsidRPr="00FD22C5">
        <w:rPr>
          <w:rFonts w:ascii="Arial" w:hAnsi="Arial" w:cs="Arial"/>
          <w:b/>
          <w:sz w:val="20"/>
          <w:szCs w:val="20"/>
        </w:rPr>
        <w:t>has already been established</w:t>
      </w:r>
      <w:r w:rsidR="00FD22C5">
        <w:rPr>
          <w:rFonts w:ascii="Arial" w:hAnsi="Arial" w:cs="Arial"/>
          <w:sz w:val="20"/>
          <w:szCs w:val="20"/>
        </w:rPr>
        <w:t xml:space="preserve"> in the context of MIFID’s RTS2 Art 7 (Paras 5-6)</w:t>
      </w:r>
      <w:r w:rsidR="00FD22C5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FD22C5">
        <w:rPr>
          <w:rFonts w:ascii="Arial" w:hAnsi="Arial" w:cs="Arial"/>
          <w:sz w:val="20"/>
          <w:szCs w:val="20"/>
        </w:rPr>
        <w:t xml:space="preserve"> which establishes post-trade transparency reporting obligations for</w:t>
      </w:r>
      <w:r w:rsidR="00FD22C5" w:rsidRPr="00FD22C5">
        <w:rPr>
          <w:rFonts w:ascii="Arial" w:hAnsi="Arial" w:cs="Arial"/>
          <w:sz w:val="20"/>
          <w:szCs w:val="20"/>
        </w:rPr>
        <w:t xml:space="preserve"> investment firms </w:t>
      </w:r>
      <w:r w:rsidR="00FD22C5">
        <w:rPr>
          <w:rFonts w:ascii="Arial" w:hAnsi="Arial" w:cs="Arial"/>
          <w:sz w:val="20"/>
          <w:szCs w:val="20"/>
        </w:rPr>
        <w:t>concluding transactions</w:t>
      </w:r>
      <w:r w:rsidR="00FD22C5" w:rsidRPr="00FD22C5">
        <w:rPr>
          <w:rFonts w:ascii="Arial" w:hAnsi="Arial" w:cs="Arial"/>
          <w:sz w:val="20"/>
          <w:szCs w:val="20"/>
        </w:rPr>
        <w:t xml:space="preserve"> outsi</w:t>
      </w:r>
      <w:r w:rsidR="00FD22C5">
        <w:rPr>
          <w:rFonts w:ascii="Arial" w:hAnsi="Arial" w:cs="Arial"/>
          <w:sz w:val="20"/>
          <w:szCs w:val="20"/>
        </w:rPr>
        <w:t>de the rules of a trading venue</w:t>
      </w:r>
      <w:r w:rsidR="00FD22C5" w:rsidRPr="00FD22C5">
        <w:rPr>
          <w:rFonts w:ascii="Arial" w:hAnsi="Arial" w:cs="Arial"/>
          <w:sz w:val="20"/>
          <w:szCs w:val="20"/>
        </w:rPr>
        <w:t>.</w:t>
      </w:r>
    </w:p>
    <w:p w14:paraId="7D306A9B" w14:textId="77777777" w:rsidR="006C5607" w:rsidRPr="00912AF3" w:rsidRDefault="006C5607" w:rsidP="0020634C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>The</w:t>
      </w:r>
      <w:r w:rsidRPr="00912AF3">
        <w:rPr>
          <w:rFonts w:ascii="Arial" w:hAnsi="Arial" w:cs="Arial"/>
          <w:sz w:val="20"/>
          <w:szCs w:val="20"/>
        </w:rPr>
        <w:t xml:space="preserve"> </w:t>
      </w:r>
      <w:r w:rsidRPr="00912AF3">
        <w:rPr>
          <w:rFonts w:ascii="Arial" w:hAnsi="Arial" w:cs="Arial"/>
          <w:b/>
          <w:sz w:val="20"/>
          <w:szCs w:val="20"/>
        </w:rPr>
        <w:t>SFTR model</w:t>
      </w:r>
      <w:r w:rsidRPr="00912AF3">
        <w:rPr>
          <w:rFonts w:ascii="Arial" w:hAnsi="Arial" w:cs="Arial"/>
          <w:sz w:val="20"/>
          <w:szCs w:val="20"/>
        </w:rPr>
        <w:t xml:space="preserve"> (Option 4) </w:t>
      </w:r>
      <w:r w:rsidRPr="00912AF3">
        <w:rPr>
          <w:rFonts w:ascii="Arial" w:hAnsi="Arial" w:cs="Arial"/>
          <w:b/>
          <w:sz w:val="20"/>
          <w:szCs w:val="20"/>
        </w:rPr>
        <w:t xml:space="preserve">does </w:t>
      </w:r>
      <w:r w:rsidRPr="00912AF3">
        <w:rPr>
          <w:rFonts w:ascii="Arial" w:hAnsi="Arial" w:cs="Arial"/>
          <w:b/>
          <w:sz w:val="20"/>
          <w:szCs w:val="20"/>
          <w:u w:val="single"/>
        </w:rPr>
        <w:t>not</w:t>
      </w:r>
      <w:r w:rsidRPr="00912AF3">
        <w:rPr>
          <w:rFonts w:ascii="Arial" w:hAnsi="Arial" w:cs="Arial"/>
          <w:b/>
          <w:sz w:val="20"/>
          <w:szCs w:val="20"/>
        </w:rPr>
        <w:t xml:space="preserve"> alleviate the burdens of reporting for corporate end-users</w:t>
      </w:r>
      <w:r w:rsidRPr="00912AF3">
        <w:rPr>
          <w:rFonts w:ascii="Arial" w:hAnsi="Arial" w:cs="Arial"/>
          <w:sz w:val="20"/>
          <w:szCs w:val="20"/>
        </w:rPr>
        <w:t>:</w:t>
      </w:r>
    </w:p>
    <w:p w14:paraId="7519D721" w14:textId="52776338" w:rsidR="00121E9B" w:rsidRPr="00843635" w:rsidRDefault="006C5607" w:rsidP="0024593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 xml:space="preserve">Mandatory delegation of reporting does not change the </w:t>
      </w:r>
      <w:r w:rsidRPr="00912AF3">
        <w:rPr>
          <w:rFonts w:ascii="Arial" w:hAnsi="Arial" w:cs="Arial"/>
          <w:b/>
          <w:i/>
          <w:sz w:val="20"/>
          <w:szCs w:val="20"/>
        </w:rPr>
        <w:t>status quo</w:t>
      </w:r>
      <w:r w:rsidRPr="00912AF3">
        <w:rPr>
          <w:rFonts w:ascii="Arial" w:hAnsi="Arial" w:cs="Arial"/>
          <w:b/>
          <w:sz w:val="20"/>
          <w:szCs w:val="20"/>
        </w:rPr>
        <w:t xml:space="preserve"> – </w:t>
      </w:r>
      <w:r w:rsidRPr="00912AF3">
        <w:rPr>
          <w:rFonts w:ascii="Arial" w:hAnsi="Arial" w:cs="Arial"/>
          <w:sz w:val="20"/>
          <w:szCs w:val="20"/>
        </w:rPr>
        <w:t xml:space="preserve">EMIR already has a delegated-reporting model (as explained above) and this </w:t>
      </w:r>
      <w:r w:rsidR="00FD22C5">
        <w:rPr>
          <w:rFonts w:ascii="Arial" w:hAnsi="Arial" w:cs="Arial"/>
          <w:sz w:val="20"/>
          <w:szCs w:val="20"/>
        </w:rPr>
        <w:t>maintains</w:t>
      </w:r>
      <w:r w:rsidRPr="00912AF3">
        <w:rPr>
          <w:rFonts w:ascii="Arial" w:hAnsi="Arial" w:cs="Arial"/>
          <w:sz w:val="20"/>
          <w:szCs w:val="20"/>
        </w:rPr>
        <w:t xml:space="preserve"> the legal burden</w:t>
      </w:r>
      <w:r w:rsidR="00EC5FA0" w:rsidRPr="00912AF3">
        <w:rPr>
          <w:rFonts w:ascii="Arial" w:hAnsi="Arial" w:cs="Arial"/>
          <w:sz w:val="20"/>
          <w:szCs w:val="20"/>
        </w:rPr>
        <w:t xml:space="preserve"> with the NFC</w:t>
      </w:r>
      <w:r w:rsidRPr="00912AF3">
        <w:rPr>
          <w:rFonts w:ascii="Arial" w:hAnsi="Arial" w:cs="Arial"/>
          <w:sz w:val="20"/>
          <w:szCs w:val="20"/>
        </w:rPr>
        <w:t xml:space="preserve"> and therefore </w:t>
      </w:r>
      <w:r w:rsidR="00EC5FA0" w:rsidRPr="00912AF3">
        <w:rPr>
          <w:rFonts w:ascii="Arial" w:hAnsi="Arial" w:cs="Arial"/>
          <w:sz w:val="20"/>
          <w:szCs w:val="20"/>
        </w:rPr>
        <w:t xml:space="preserve">the ultimate </w:t>
      </w:r>
      <w:r w:rsidRPr="00912AF3">
        <w:rPr>
          <w:rFonts w:ascii="Arial" w:hAnsi="Arial" w:cs="Arial"/>
          <w:sz w:val="20"/>
          <w:szCs w:val="20"/>
        </w:rPr>
        <w:t>costs</w:t>
      </w:r>
    </w:p>
    <w:p w14:paraId="7B5F0AB7" w14:textId="77777777" w:rsidR="00281CF1" w:rsidRDefault="006C5607" w:rsidP="0020634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b/>
          <w:sz w:val="20"/>
          <w:szCs w:val="20"/>
        </w:rPr>
        <w:t xml:space="preserve">The SFTR regime only applies </w:t>
      </w:r>
      <w:r w:rsidR="00D45BF4" w:rsidRPr="00912AF3">
        <w:rPr>
          <w:rFonts w:ascii="Arial" w:hAnsi="Arial" w:cs="Arial"/>
          <w:b/>
          <w:sz w:val="20"/>
          <w:szCs w:val="20"/>
        </w:rPr>
        <w:t>single-sided reporting to SMEs</w:t>
      </w:r>
      <w:r w:rsidR="00D45BF4" w:rsidRPr="00912AF3">
        <w:rPr>
          <w:rFonts w:ascii="Arial" w:hAnsi="Arial" w:cs="Arial"/>
          <w:sz w:val="20"/>
          <w:szCs w:val="20"/>
        </w:rPr>
        <w:t xml:space="preserve"> – this has very limited impact to the </w:t>
      </w:r>
      <w:r w:rsidR="006C49A9" w:rsidRPr="00912AF3">
        <w:rPr>
          <w:rFonts w:ascii="Arial" w:hAnsi="Arial" w:cs="Arial"/>
          <w:sz w:val="20"/>
          <w:szCs w:val="20"/>
        </w:rPr>
        <w:t xml:space="preserve">vast </w:t>
      </w:r>
      <w:r w:rsidR="00D45BF4" w:rsidRPr="00912AF3">
        <w:rPr>
          <w:rFonts w:ascii="Arial" w:hAnsi="Arial" w:cs="Arial"/>
          <w:sz w:val="20"/>
          <w:szCs w:val="20"/>
        </w:rPr>
        <w:t xml:space="preserve">majority of corporate hedging in Europe and therefore does not lead to meaningful alleviation of </w:t>
      </w:r>
      <w:r w:rsidR="00D7014F" w:rsidRPr="00912AF3">
        <w:rPr>
          <w:rFonts w:ascii="Arial" w:hAnsi="Arial" w:cs="Arial"/>
          <w:sz w:val="20"/>
          <w:szCs w:val="20"/>
        </w:rPr>
        <w:t xml:space="preserve">the </w:t>
      </w:r>
      <w:r w:rsidRPr="00912AF3">
        <w:rPr>
          <w:rFonts w:ascii="Arial" w:hAnsi="Arial" w:cs="Arial"/>
          <w:sz w:val="20"/>
          <w:szCs w:val="20"/>
        </w:rPr>
        <w:t xml:space="preserve">EMIR-reporting cost </w:t>
      </w:r>
      <w:r w:rsidR="006C49A9" w:rsidRPr="00912AF3">
        <w:rPr>
          <w:rFonts w:ascii="Arial" w:hAnsi="Arial" w:cs="Arial"/>
          <w:sz w:val="20"/>
          <w:szCs w:val="20"/>
        </w:rPr>
        <w:t>burden</w:t>
      </w:r>
    </w:p>
    <w:p w14:paraId="082B06E5" w14:textId="49264CEF" w:rsidR="00643276" w:rsidRDefault="001D44AE" w:rsidP="00967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B23BA">
        <w:rPr>
          <w:rFonts w:ascii="Arial" w:hAnsi="Arial" w:cs="Arial"/>
          <w:sz w:val="20"/>
          <w:szCs w:val="20"/>
        </w:rPr>
        <w:t xml:space="preserve">he Commission’s EMIR </w:t>
      </w:r>
      <w:r>
        <w:rPr>
          <w:rFonts w:ascii="Arial" w:hAnsi="Arial" w:cs="Arial"/>
          <w:sz w:val="20"/>
          <w:szCs w:val="20"/>
        </w:rPr>
        <w:t>Review Report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="00CB23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also proposes exploring</w:t>
      </w:r>
      <w:r w:rsidR="00CB23BA">
        <w:rPr>
          <w:rFonts w:ascii="Arial" w:hAnsi="Arial" w:cs="Arial"/>
          <w:sz w:val="20"/>
          <w:szCs w:val="20"/>
        </w:rPr>
        <w:t xml:space="preserve"> </w:t>
      </w:r>
      <w:r w:rsidR="00CB23BA" w:rsidRPr="00CB23BA">
        <w:rPr>
          <w:rFonts w:ascii="Arial" w:hAnsi="Arial" w:cs="Arial"/>
          <w:sz w:val="20"/>
          <w:szCs w:val="20"/>
        </w:rPr>
        <w:t>whether financial counterparties should report</w:t>
      </w:r>
      <w:r w:rsidR="00CB23BA">
        <w:rPr>
          <w:rFonts w:ascii="Arial" w:hAnsi="Arial" w:cs="Arial"/>
          <w:sz w:val="20"/>
          <w:szCs w:val="20"/>
        </w:rPr>
        <w:t xml:space="preserve"> derivatives “on behalf of NFCs</w:t>
      </w:r>
      <w:r w:rsidR="00CB23BA" w:rsidRPr="00CB23B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This unfortunately</w:t>
      </w:r>
      <w:r w:rsidR="00FD22C5">
        <w:rPr>
          <w:rFonts w:ascii="Arial" w:hAnsi="Arial" w:cs="Arial"/>
          <w:sz w:val="20"/>
          <w:szCs w:val="20"/>
        </w:rPr>
        <w:t xml:space="preserve"> also</w:t>
      </w:r>
      <w:r>
        <w:rPr>
          <w:rFonts w:ascii="Arial" w:hAnsi="Arial" w:cs="Arial"/>
          <w:sz w:val="20"/>
          <w:szCs w:val="20"/>
        </w:rPr>
        <w:t xml:space="preserve"> does not change the </w:t>
      </w:r>
      <w:r w:rsidRPr="00522EDA">
        <w:rPr>
          <w:rFonts w:ascii="Arial" w:hAnsi="Arial" w:cs="Arial"/>
          <w:i/>
          <w:sz w:val="20"/>
          <w:szCs w:val="20"/>
        </w:rPr>
        <w:t>status quo</w:t>
      </w:r>
      <w:r>
        <w:rPr>
          <w:rFonts w:ascii="Arial" w:hAnsi="Arial" w:cs="Arial"/>
          <w:sz w:val="20"/>
          <w:szCs w:val="20"/>
        </w:rPr>
        <w:t xml:space="preserve"> for </w:t>
      </w:r>
      <w:r w:rsidR="00CB23BA">
        <w:rPr>
          <w:rFonts w:ascii="Arial" w:hAnsi="Arial" w:cs="Arial"/>
          <w:sz w:val="20"/>
          <w:szCs w:val="20"/>
        </w:rPr>
        <w:t>NFCs</w:t>
      </w:r>
      <w:r>
        <w:rPr>
          <w:rFonts w:ascii="Arial" w:hAnsi="Arial" w:cs="Arial"/>
          <w:sz w:val="20"/>
          <w:szCs w:val="20"/>
        </w:rPr>
        <w:t>:</w:t>
      </w:r>
    </w:p>
    <w:p w14:paraId="75B42EC5" w14:textId="77777777" w:rsidR="00643276" w:rsidRPr="00522EDA" w:rsidRDefault="00CB23BA" w:rsidP="00522ED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22EDA">
        <w:rPr>
          <w:rFonts w:ascii="Arial" w:hAnsi="Arial" w:cs="Arial"/>
          <w:b/>
          <w:sz w:val="20"/>
          <w:szCs w:val="20"/>
        </w:rPr>
        <w:t xml:space="preserve">Reporting “on behalf of NFCs” </w:t>
      </w:r>
      <w:r w:rsidR="00643276" w:rsidRPr="00522EDA">
        <w:rPr>
          <w:rFonts w:ascii="Arial" w:hAnsi="Arial" w:cs="Arial"/>
          <w:b/>
          <w:sz w:val="20"/>
          <w:szCs w:val="20"/>
        </w:rPr>
        <w:t>does not shift the</w:t>
      </w:r>
      <w:r w:rsidR="001D44AE">
        <w:rPr>
          <w:rFonts w:ascii="Arial" w:hAnsi="Arial" w:cs="Arial"/>
          <w:b/>
          <w:sz w:val="20"/>
          <w:szCs w:val="20"/>
        </w:rPr>
        <w:t xml:space="preserve"> ultimate</w:t>
      </w:r>
      <w:r w:rsidR="00643276" w:rsidRPr="00522EDA">
        <w:rPr>
          <w:rFonts w:ascii="Arial" w:hAnsi="Arial" w:cs="Arial"/>
          <w:b/>
          <w:sz w:val="20"/>
          <w:szCs w:val="20"/>
        </w:rPr>
        <w:t xml:space="preserve"> legal </w:t>
      </w:r>
      <w:r w:rsidR="001D44AE">
        <w:rPr>
          <w:rFonts w:ascii="Arial" w:hAnsi="Arial" w:cs="Arial"/>
          <w:b/>
          <w:sz w:val="20"/>
          <w:szCs w:val="20"/>
        </w:rPr>
        <w:t>responsibility</w:t>
      </w:r>
      <w:r w:rsidR="00643276" w:rsidRPr="00522EDA">
        <w:rPr>
          <w:rFonts w:ascii="Arial" w:hAnsi="Arial" w:cs="Arial"/>
          <w:b/>
          <w:sz w:val="20"/>
          <w:szCs w:val="20"/>
        </w:rPr>
        <w:t xml:space="preserve"> for reporting to the financial counterparty</w:t>
      </w:r>
      <w:r w:rsidR="00643276">
        <w:rPr>
          <w:rFonts w:ascii="Arial" w:hAnsi="Arial" w:cs="Arial"/>
          <w:sz w:val="20"/>
          <w:szCs w:val="20"/>
        </w:rPr>
        <w:t xml:space="preserve"> – like the current delegation model, the legal liability would remain with NFCs</w:t>
      </w:r>
    </w:p>
    <w:p w14:paraId="1C732285" w14:textId="0676E5F9" w:rsidR="009676E6" w:rsidRPr="00522EDA" w:rsidRDefault="00643276" w:rsidP="00522ED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22EDA">
        <w:rPr>
          <w:rFonts w:ascii="Arial" w:hAnsi="Arial" w:cs="Arial"/>
          <w:b/>
          <w:sz w:val="20"/>
          <w:szCs w:val="20"/>
        </w:rPr>
        <w:t>No</w:t>
      </w:r>
      <w:r w:rsidR="00CB23BA" w:rsidRPr="00522EDA">
        <w:rPr>
          <w:rFonts w:ascii="Arial" w:hAnsi="Arial" w:cs="Arial"/>
          <w:b/>
          <w:sz w:val="20"/>
          <w:szCs w:val="20"/>
        </w:rPr>
        <w:t xml:space="preserve"> change</w:t>
      </w:r>
      <w:r w:rsidR="00830825">
        <w:rPr>
          <w:rFonts w:ascii="Arial" w:hAnsi="Arial" w:cs="Arial"/>
          <w:b/>
          <w:sz w:val="20"/>
          <w:szCs w:val="20"/>
        </w:rPr>
        <w:t xml:space="preserve"> for NFCs</w:t>
      </w:r>
      <w:r w:rsidR="00ED3D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because the legal liability remains with NFCs, </w:t>
      </w:r>
      <w:r w:rsidR="00CB23BA" w:rsidRPr="00522EDA">
        <w:rPr>
          <w:rFonts w:ascii="Arial" w:hAnsi="Arial" w:cs="Arial"/>
          <w:sz w:val="20"/>
          <w:szCs w:val="20"/>
        </w:rPr>
        <w:t>the legal and cost burdens would remain with NFCs</w:t>
      </w:r>
    </w:p>
    <w:p w14:paraId="080011FA" w14:textId="77777777" w:rsidR="00EC5FA0" w:rsidRPr="009676E6" w:rsidRDefault="00EC5FA0" w:rsidP="00EC5FA0">
      <w:pPr>
        <w:rPr>
          <w:rFonts w:ascii="Arial" w:hAnsi="Arial" w:cs="Arial"/>
          <w:i/>
          <w:sz w:val="20"/>
          <w:szCs w:val="20"/>
        </w:rPr>
      </w:pPr>
    </w:p>
    <w:p w14:paraId="05BE4624" w14:textId="509E8C33" w:rsidR="00EC5FA0" w:rsidRPr="00912AF3" w:rsidRDefault="00EC5FA0" w:rsidP="00EC5FA0">
      <w:pPr>
        <w:rPr>
          <w:rFonts w:ascii="Arial" w:hAnsi="Arial" w:cs="Arial"/>
          <w:b/>
          <w:caps/>
          <w:sz w:val="20"/>
          <w:szCs w:val="20"/>
        </w:rPr>
      </w:pPr>
      <w:r w:rsidRPr="00912AF3">
        <w:rPr>
          <w:rFonts w:ascii="Arial" w:hAnsi="Arial" w:cs="Arial"/>
          <w:b/>
          <w:caps/>
          <w:sz w:val="20"/>
          <w:szCs w:val="20"/>
        </w:rPr>
        <w:lastRenderedPageBreak/>
        <w:t>NON-PAPER #5 – the reporting of intragroup transactions</w:t>
      </w:r>
    </w:p>
    <w:p w14:paraId="6F958DE5" w14:textId="2B5B01B5" w:rsidR="00912AF3" w:rsidRPr="00912AF3" w:rsidRDefault="00912AF3" w:rsidP="00912A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Pr="00022FC4">
        <w:rPr>
          <w:rFonts w:ascii="Arial" w:hAnsi="Arial" w:cs="Arial"/>
          <w:b/>
          <w:sz w:val="20"/>
          <w:szCs w:val="20"/>
        </w:rPr>
        <w:t xml:space="preserve">NFCs which </w:t>
      </w:r>
      <w:r w:rsidR="00643276">
        <w:rPr>
          <w:rFonts w:ascii="Arial" w:hAnsi="Arial" w:cs="Arial"/>
          <w:b/>
          <w:sz w:val="20"/>
          <w:szCs w:val="20"/>
        </w:rPr>
        <w:t xml:space="preserve">manage risks through </w:t>
      </w:r>
      <w:r w:rsidRPr="00022FC4">
        <w:rPr>
          <w:rFonts w:ascii="Arial" w:hAnsi="Arial" w:cs="Arial"/>
          <w:b/>
          <w:sz w:val="20"/>
          <w:szCs w:val="20"/>
        </w:rPr>
        <w:t>centralized corporate treasury functions</w:t>
      </w:r>
      <w:r>
        <w:rPr>
          <w:rFonts w:ascii="Arial" w:hAnsi="Arial" w:cs="Arial"/>
          <w:sz w:val="20"/>
          <w:szCs w:val="20"/>
        </w:rPr>
        <w:t>, intragroup transactions</w:t>
      </w:r>
      <w:r w:rsidR="00FD22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between subsidiaries can regularly lead to </w:t>
      </w:r>
      <w:r w:rsidRPr="00022FC4">
        <w:rPr>
          <w:rFonts w:ascii="Arial" w:hAnsi="Arial" w:cs="Arial"/>
          <w:b/>
          <w:sz w:val="20"/>
          <w:szCs w:val="20"/>
        </w:rPr>
        <w:t>multiple</w:t>
      </w:r>
      <w:r w:rsidR="00830825">
        <w:rPr>
          <w:rFonts w:ascii="Arial" w:hAnsi="Arial" w:cs="Arial"/>
          <w:b/>
          <w:sz w:val="20"/>
          <w:szCs w:val="20"/>
        </w:rPr>
        <w:t>s</w:t>
      </w:r>
      <w:r w:rsidRPr="00022FC4">
        <w:rPr>
          <w:rFonts w:ascii="Arial" w:hAnsi="Arial" w:cs="Arial"/>
          <w:b/>
          <w:sz w:val="20"/>
          <w:szCs w:val="20"/>
        </w:rPr>
        <w:t xml:space="preserve"> of 3-5 times the number </w:t>
      </w:r>
      <w:r w:rsidR="00643276">
        <w:rPr>
          <w:rFonts w:ascii="Arial" w:hAnsi="Arial" w:cs="Arial"/>
          <w:b/>
          <w:sz w:val="20"/>
          <w:szCs w:val="20"/>
        </w:rPr>
        <w:t xml:space="preserve">of </w:t>
      </w:r>
      <w:r w:rsidRPr="00022FC4">
        <w:rPr>
          <w:rFonts w:ascii="Arial" w:hAnsi="Arial" w:cs="Arial"/>
          <w:b/>
          <w:sz w:val="20"/>
          <w:szCs w:val="20"/>
        </w:rPr>
        <w:t>transactions</w:t>
      </w:r>
      <w:r>
        <w:rPr>
          <w:rFonts w:ascii="Arial" w:hAnsi="Arial" w:cs="Arial"/>
          <w:sz w:val="20"/>
          <w:szCs w:val="20"/>
        </w:rPr>
        <w:t xml:space="preserve"> </w:t>
      </w:r>
      <w:r w:rsidRPr="00022FC4">
        <w:rPr>
          <w:rFonts w:ascii="Arial" w:hAnsi="Arial" w:cs="Arial"/>
          <w:b/>
          <w:sz w:val="20"/>
          <w:szCs w:val="20"/>
        </w:rPr>
        <w:t>reported</w:t>
      </w:r>
      <w:r>
        <w:rPr>
          <w:rFonts w:ascii="Arial" w:hAnsi="Arial" w:cs="Arial"/>
          <w:sz w:val="20"/>
          <w:szCs w:val="20"/>
        </w:rPr>
        <w:t xml:space="preserve"> for every external transaction undertaken.</w:t>
      </w:r>
      <w:r w:rsidR="00643276">
        <w:rPr>
          <w:rFonts w:ascii="Arial" w:hAnsi="Arial" w:cs="Arial"/>
          <w:sz w:val="20"/>
          <w:szCs w:val="20"/>
        </w:rPr>
        <w:t xml:space="preserve">  </w:t>
      </w:r>
    </w:p>
    <w:p w14:paraId="57717A95" w14:textId="77777777" w:rsidR="00912AF3" w:rsidRPr="00912AF3" w:rsidRDefault="00912AF3" w:rsidP="00EC5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i</w:t>
      </w:r>
      <w:r w:rsidRPr="00912AF3">
        <w:rPr>
          <w:rFonts w:ascii="Arial" w:hAnsi="Arial" w:cs="Arial"/>
          <w:sz w:val="20"/>
          <w:szCs w:val="20"/>
        </w:rPr>
        <w:t xml:space="preserve">ntragroup transactions of </w:t>
      </w:r>
      <w:r>
        <w:rPr>
          <w:rFonts w:ascii="Arial" w:hAnsi="Arial" w:cs="Arial"/>
          <w:sz w:val="20"/>
          <w:szCs w:val="20"/>
        </w:rPr>
        <w:t>NFCs</w:t>
      </w:r>
      <w:r w:rsidRPr="00912AF3">
        <w:rPr>
          <w:rFonts w:ascii="Arial" w:hAnsi="Arial" w:cs="Arial"/>
          <w:sz w:val="20"/>
          <w:szCs w:val="20"/>
        </w:rPr>
        <w:t xml:space="preserve"> do not increase systemic risk, either by creating counterparty credit risk or increasing interconnectedness between financial institutions.</w:t>
      </w:r>
    </w:p>
    <w:p w14:paraId="377891A7" w14:textId="77777777" w:rsidR="00EC5FA0" w:rsidRDefault="00912AF3" w:rsidP="00EC5FA0">
      <w:pPr>
        <w:rPr>
          <w:rFonts w:ascii="Arial" w:hAnsi="Arial" w:cs="Arial"/>
          <w:sz w:val="20"/>
          <w:szCs w:val="20"/>
        </w:rPr>
      </w:pPr>
      <w:r w:rsidRPr="00912AF3">
        <w:rPr>
          <w:rFonts w:ascii="Arial" w:hAnsi="Arial" w:cs="Arial"/>
          <w:sz w:val="20"/>
          <w:szCs w:val="20"/>
        </w:rPr>
        <w:t>Requiring NFCs to comply with the same reporting requirements for intragroup transactions as those required for external derivatives transactions burdens corporates with</w:t>
      </w:r>
      <w:r>
        <w:rPr>
          <w:rFonts w:ascii="Arial" w:hAnsi="Arial" w:cs="Arial"/>
          <w:sz w:val="20"/>
          <w:szCs w:val="20"/>
        </w:rPr>
        <w:t>out any corresponding benefit.</w:t>
      </w:r>
    </w:p>
    <w:p w14:paraId="2778803F" w14:textId="2C3FD25C" w:rsidR="00EC5FA0" w:rsidRPr="00022FC4" w:rsidRDefault="00912AF3" w:rsidP="00EC5FA0">
      <w:pPr>
        <w:rPr>
          <w:rFonts w:ascii="Arial" w:hAnsi="Arial" w:cs="Arial"/>
          <w:b/>
          <w:sz w:val="20"/>
          <w:szCs w:val="20"/>
        </w:rPr>
      </w:pPr>
      <w:r w:rsidRPr="00022FC4">
        <w:rPr>
          <w:rFonts w:ascii="Arial" w:hAnsi="Arial" w:cs="Arial"/>
          <w:b/>
          <w:sz w:val="20"/>
          <w:szCs w:val="20"/>
        </w:rPr>
        <w:t>To achieve a meaningful alleviation of EMIR’s reporting burdens, a single-sided entity-based reporting model would have to be combined with an intragroup transaction exemption for NFCs (Option 1 or 2).</w:t>
      </w:r>
      <w:r w:rsidR="00121E9B">
        <w:rPr>
          <w:rFonts w:ascii="Arial" w:hAnsi="Arial" w:cs="Arial"/>
          <w:b/>
          <w:sz w:val="20"/>
          <w:szCs w:val="20"/>
        </w:rPr>
        <w:t xml:space="preserve"> </w:t>
      </w:r>
    </w:p>
    <w:p w14:paraId="54DCBCCA" w14:textId="77777777" w:rsidR="00EC5FA0" w:rsidRPr="00522EDA" w:rsidRDefault="00912AF3" w:rsidP="00EC5FA0">
      <w:pPr>
        <w:rPr>
          <w:rFonts w:ascii="Arial" w:hAnsi="Arial" w:cs="Arial"/>
          <w:sz w:val="20"/>
          <w:szCs w:val="20"/>
        </w:rPr>
      </w:pPr>
      <w:r w:rsidRPr="00022FC4">
        <w:rPr>
          <w:rFonts w:ascii="Arial" w:hAnsi="Arial" w:cs="Arial"/>
          <w:b/>
          <w:sz w:val="20"/>
          <w:szCs w:val="20"/>
        </w:rPr>
        <w:t xml:space="preserve">Requiring financial counterparties to report both legs of the NFCs’ own internal intragroup transactions (Option 3) would </w:t>
      </w:r>
      <w:r w:rsidR="00022FC4" w:rsidRPr="00022FC4">
        <w:rPr>
          <w:rFonts w:ascii="Arial" w:hAnsi="Arial" w:cs="Arial"/>
          <w:b/>
          <w:sz w:val="20"/>
          <w:szCs w:val="20"/>
        </w:rPr>
        <w:t>not reduce burdens on NFCs</w:t>
      </w:r>
      <w:r w:rsidR="00022FC4">
        <w:rPr>
          <w:rFonts w:ascii="Arial" w:hAnsi="Arial" w:cs="Arial"/>
          <w:sz w:val="20"/>
          <w:szCs w:val="20"/>
        </w:rPr>
        <w:t xml:space="preserve"> – as it would </w:t>
      </w:r>
      <w:r>
        <w:rPr>
          <w:rFonts w:ascii="Arial" w:hAnsi="Arial" w:cs="Arial"/>
          <w:sz w:val="20"/>
          <w:szCs w:val="20"/>
        </w:rPr>
        <w:t>still require the NFCs to report the full intragroup internal data to the financial counterparty</w:t>
      </w:r>
      <w:r w:rsidR="00022FC4">
        <w:rPr>
          <w:rFonts w:ascii="Arial" w:hAnsi="Arial" w:cs="Arial"/>
          <w:sz w:val="20"/>
          <w:szCs w:val="20"/>
        </w:rPr>
        <w:t>.</w:t>
      </w:r>
      <w:r w:rsidR="00A24FCA">
        <w:rPr>
          <w:rFonts w:ascii="Arial" w:hAnsi="Arial" w:cs="Arial"/>
          <w:sz w:val="20"/>
          <w:szCs w:val="20"/>
        </w:rPr>
        <w:t xml:space="preserve">  Additionally, there are inherent confidentiality concerns with reporting any </w:t>
      </w:r>
      <w:r w:rsidR="00522EDA">
        <w:rPr>
          <w:rFonts w:ascii="Arial" w:hAnsi="Arial" w:cs="Arial"/>
          <w:sz w:val="20"/>
          <w:szCs w:val="20"/>
        </w:rPr>
        <w:t xml:space="preserve">internal </w:t>
      </w:r>
      <w:r w:rsidR="00A24FCA">
        <w:rPr>
          <w:rFonts w:ascii="Arial" w:hAnsi="Arial" w:cs="Arial"/>
          <w:sz w:val="20"/>
          <w:szCs w:val="20"/>
        </w:rPr>
        <w:t xml:space="preserve">data to </w:t>
      </w:r>
      <w:r w:rsidR="008121BA">
        <w:rPr>
          <w:rFonts w:ascii="Arial" w:hAnsi="Arial" w:cs="Arial"/>
          <w:sz w:val="20"/>
          <w:szCs w:val="20"/>
        </w:rPr>
        <w:t>a financial counterparty.</w:t>
      </w:r>
    </w:p>
    <w:sectPr w:rsidR="00EC5FA0" w:rsidRPr="00522EDA" w:rsidSect="001C3904">
      <w:footerReference w:type="default" r:id="rId17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92C1" w14:textId="77777777" w:rsidR="00BC18D0" w:rsidRDefault="00BC18D0" w:rsidP="00E65CD7">
      <w:pPr>
        <w:spacing w:after="0" w:line="240" w:lineRule="auto"/>
      </w:pPr>
      <w:r>
        <w:separator/>
      </w:r>
    </w:p>
  </w:endnote>
  <w:endnote w:type="continuationSeparator" w:id="0">
    <w:p w14:paraId="7427B350" w14:textId="77777777" w:rsidR="00BC18D0" w:rsidRDefault="00BC18D0" w:rsidP="00E6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8294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619CC" w14:textId="55296504" w:rsidR="005F6060" w:rsidRPr="001C03D0" w:rsidRDefault="001C03D0" w:rsidP="001C03D0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Page </w:t>
        </w:r>
        <w:r w:rsidRPr="001C03D0">
          <w:rPr>
            <w:rFonts w:ascii="Arial" w:hAnsi="Arial" w:cs="Arial"/>
            <w:sz w:val="16"/>
            <w:szCs w:val="16"/>
          </w:rPr>
          <w:fldChar w:fldCharType="begin"/>
        </w:r>
        <w:r w:rsidRPr="001C03D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C03D0">
          <w:rPr>
            <w:rFonts w:ascii="Arial" w:hAnsi="Arial" w:cs="Arial"/>
            <w:sz w:val="16"/>
            <w:szCs w:val="16"/>
          </w:rPr>
          <w:fldChar w:fldCharType="separate"/>
        </w:r>
        <w:r w:rsidR="0055453F">
          <w:rPr>
            <w:rFonts w:ascii="Arial" w:hAnsi="Arial" w:cs="Arial"/>
            <w:noProof/>
            <w:sz w:val="16"/>
            <w:szCs w:val="16"/>
          </w:rPr>
          <w:t>3</w:t>
        </w:r>
        <w:r w:rsidRPr="001C03D0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DA6BA" w14:textId="77777777" w:rsidR="00BC18D0" w:rsidRDefault="00BC18D0" w:rsidP="00E65CD7">
      <w:pPr>
        <w:spacing w:after="0" w:line="240" w:lineRule="auto"/>
      </w:pPr>
      <w:r>
        <w:separator/>
      </w:r>
    </w:p>
  </w:footnote>
  <w:footnote w:type="continuationSeparator" w:id="0">
    <w:p w14:paraId="23ECA6C9" w14:textId="77777777" w:rsidR="00BC18D0" w:rsidRDefault="00BC18D0" w:rsidP="00E65CD7">
      <w:pPr>
        <w:spacing w:after="0" w:line="240" w:lineRule="auto"/>
      </w:pPr>
      <w:r>
        <w:continuationSeparator/>
      </w:r>
    </w:p>
  </w:footnote>
  <w:footnote w:id="1">
    <w:p w14:paraId="66800845" w14:textId="77777777" w:rsidR="00E65CD7" w:rsidRPr="00522EDA" w:rsidRDefault="00E65CD7">
      <w:pPr>
        <w:pStyle w:val="FootnoteText"/>
        <w:rPr>
          <w:rFonts w:ascii="Arial" w:hAnsi="Arial" w:cs="Arial"/>
          <w:sz w:val="16"/>
          <w:szCs w:val="16"/>
        </w:rPr>
      </w:pPr>
      <w:r w:rsidRPr="00522EDA">
        <w:rPr>
          <w:rStyle w:val="FootnoteReference"/>
          <w:rFonts w:ascii="Arial" w:hAnsi="Arial" w:cs="Arial"/>
          <w:sz w:val="16"/>
          <w:szCs w:val="16"/>
        </w:rPr>
        <w:footnoteRef/>
      </w:r>
      <w:r w:rsidRPr="00522EDA">
        <w:rPr>
          <w:rFonts w:ascii="Arial" w:hAnsi="Arial" w:cs="Arial"/>
          <w:sz w:val="16"/>
          <w:szCs w:val="16"/>
        </w:rPr>
        <w:t xml:space="preserve"> Industry study </w:t>
      </w:r>
      <w:r w:rsidR="0062665D" w:rsidRPr="00522EDA">
        <w:rPr>
          <w:rFonts w:ascii="Arial" w:hAnsi="Arial" w:cs="Arial"/>
          <w:sz w:val="16"/>
          <w:szCs w:val="16"/>
        </w:rPr>
        <w:t xml:space="preserve">based on ISDA survey estimates and available information in </w:t>
      </w:r>
      <w:r w:rsidRPr="00522EDA">
        <w:rPr>
          <w:rFonts w:ascii="Arial" w:hAnsi="Arial" w:cs="Arial"/>
          <w:sz w:val="16"/>
          <w:szCs w:val="16"/>
        </w:rPr>
        <w:t>July 2016</w:t>
      </w:r>
    </w:p>
  </w:footnote>
  <w:footnote w:id="2">
    <w:p w14:paraId="58CA1B27" w14:textId="77777777" w:rsidR="00EC5FA0" w:rsidRDefault="00EC5FA0">
      <w:pPr>
        <w:pStyle w:val="FootnoteText"/>
      </w:pPr>
      <w:r>
        <w:rPr>
          <w:rStyle w:val="FootnoteReference"/>
        </w:rPr>
        <w:footnoteRef/>
      </w:r>
      <w:r>
        <w:t xml:space="preserve"> For full description see the report “</w:t>
      </w:r>
      <w:r w:rsidRPr="00EC5FA0">
        <w:t>EMIR’s data reporting regime</w:t>
      </w:r>
      <w:r>
        <w:t xml:space="preserve"> - e</w:t>
      </w:r>
      <w:r w:rsidRPr="00EC5FA0">
        <w:t>nhancing quality and efficiency</w:t>
      </w:r>
      <w:r>
        <w:t xml:space="preserve">” a </w:t>
      </w:r>
      <w:r w:rsidRPr="00EC5FA0">
        <w:t>paper by corporate derivatives end-users</w:t>
      </w:r>
      <w:r>
        <w:t>, November 2016</w:t>
      </w:r>
    </w:p>
  </w:footnote>
  <w:footnote w:id="3">
    <w:p w14:paraId="5D42F0C5" w14:textId="2B0D4198" w:rsidR="00FD22C5" w:rsidRDefault="00FD22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http://ec.europa.eu/finance/securities/docs/isd/mifid/rts/160714-rts-2_en.pdf</w:t>
        </w:r>
      </w:hyperlink>
      <w:r>
        <w:rPr>
          <w:color w:val="1F497D"/>
        </w:rPr>
        <w:t xml:space="preserve"> </w:t>
      </w:r>
    </w:p>
  </w:footnote>
  <w:footnote w:id="4">
    <w:p w14:paraId="5C808A12" w14:textId="77777777" w:rsidR="001D44AE" w:rsidRDefault="001D44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82BC4">
          <w:rPr>
            <w:rStyle w:val="Hyperlink"/>
          </w:rPr>
          <w:t>http://ec.europa.eu/finance/financial-markets/docs/derivatives/161123-report_en.pdf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0448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3473C"/>
    <w:multiLevelType w:val="hybridMultilevel"/>
    <w:tmpl w:val="9FD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00846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  <w:color w:val="16578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7286"/>
    <w:multiLevelType w:val="hybridMultilevel"/>
    <w:tmpl w:val="B298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6F2"/>
    <w:multiLevelType w:val="hybridMultilevel"/>
    <w:tmpl w:val="D468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578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E5349"/>
    <w:multiLevelType w:val="hybridMultilevel"/>
    <w:tmpl w:val="1818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A979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6578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6C58"/>
    <w:multiLevelType w:val="hybridMultilevel"/>
    <w:tmpl w:val="880011F8"/>
    <w:lvl w:ilvl="0" w:tplc="C4D0084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16578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0E4"/>
    <w:multiLevelType w:val="hybridMultilevel"/>
    <w:tmpl w:val="42C4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3CAA"/>
    <w:multiLevelType w:val="hybridMultilevel"/>
    <w:tmpl w:val="C4A8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00846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  <w:color w:val="16578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10F"/>
    <w:multiLevelType w:val="hybridMultilevel"/>
    <w:tmpl w:val="866A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38ED"/>
    <w:multiLevelType w:val="hybridMultilevel"/>
    <w:tmpl w:val="264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67A1"/>
    <w:multiLevelType w:val="hybridMultilevel"/>
    <w:tmpl w:val="C8FC283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74732C3F"/>
    <w:multiLevelType w:val="hybridMultilevel"/>
    <w:tmpl w:val="66BA5122"/>
    <w:lvl w:ilvl="0" w:tplc="C4D0084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16578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A5"/>
    <w:rsid w:val="00022FC4"/>
    <w:rsid w:val="000270C4"/>
    <w:rsid w:val="000628DC"/>
    <w:rsid w:val="0006515B"/>
    <w:rsid w:val="000745EE"/>
    <w:rsid w:val="000C207B"/>
    <w:rsid w:val="00121E9B"/>
    <w:rsid w:val="00146EE6"/>
    <w:rsid w:val="001B694D"/>
    <w:rsid w:val="001C03D0"/>
    <w:rsid w:val="001C3904"/>
    <w:rsid w:val="001D44AE"/>
    <w:rsid w:val="0020634C"/>
    <w:rsid w:val="00245934"/>
    <w:rsid w:val="00281CF1"/>
    <w:rsid w:val="00290C93"/>
    <w:rsid w:val="002977BF"/>
    <w:rsid w:val="002B4C7F"/>
    <w:rsid w:val="002C0FC5"/>
    <w:rsid w:val="002E1EC5"/>
    <w:rsid w:val="002F65EA"/>
    <w:rsid w:val="00351833"/>
    <w:rsid w:val="00363467"/>
    <w:rsid w:val="00395F19"/>
    <w:rsid w:val="003A48A5"/>
    <w:rsid w:val="003E39CC"/>
    <w:rsid w:val="003E647E"/>
    <w:rsid w:val="003F7C07"/>
    <w:rsid w:val="004F2957"/>
    <w:rsid w:val="004F4EC2"/>
    <w:rsid w:val="00503474"/>
    <w:rsid w:val="00522EDA"/>
    <w:rsid w:val="0055453F"/>
    <w:rsid w:val="00555175"/>
    <w:rsid w:val="005F6060"/>
    <w:rsid w:val="0062665D"/>
    <w:rsid w:val="0062709D"/>
    <w:rsid w:val="00643276"/>
    <w:rsid w:val="00646A7D"/>
    <w:rsid w:val="00656B71"/>
    <w:rsid w:val="006816EB"/>
    <w:rsid w:val="00694EBD"/>
    <w:rsid w:val="006C49A9"/>
    <w:rsid w:val="006C5607"/>
    <w:rsid w:val="006F0B48"/>
    <w:rsid w:val="0074109B"/>
    <w:rsid w:val="008121BA"/>
    <w:rsid w:val="00830825"/>
    <w:rsid w:val="00843635"/>
    <w:rsid w:val="00895A55"/>
    <w:rsid w:val="00912AF3"/>
    <w:rsid w:val="009214A9"/>
    <w:rsid w:val="009676E6"/>
    <w:rsid w:val="009A7C94"/>
    <w:rsid w:val="009B185D"/>
    <w:rsid w:val="00A10D8E"/>
    <w:rsid w:val="00A211BA"/>
    <w:rsid w:val="00A24FCA"/>
    <w:rsid w:val="00A47BA1"/>
    <w:rsid w:val="00B637BA"/>
    <w:rsid w:val="00B90473"/>
    <w:rsid w:val="00B92A4B"/>
    <w:rsid w:val="00BC18D0"/>
    <w:rsid w:val="00BE54FE"/>
    <w:rsid w:val="00BF060F"/>
    <w:rsid w:val="00C30303"/>
    <w:rsid w:val="00C5378A"/>
    <w:rsid w:val="00CB23BA"/>
    <w:rsid w:val="00CC11A0"/>
    <w:rsid w:val="00D45BF4"/>
    <w:rsid w:val="00D7014F"/>
    <w:rsid w:val="00D82570"/>
    <w:rsid w:val="00DA7320"/>
    <w:rsid w:val="00DB1A71"/>
    <w:rsid w:val="00DC4AEF"/>
    <w:rsid w:val="00DE16A6"/>
    <w:rsid w:val="00E65CD7"/>
    <w:rsid w:val="00E81B18"/>
    <w:rsid w:val="00EB439E"/>
    <w:rsid w:val="00EC5FA0"/>
    <w:rsid w:val="00ED3D14"/>
    <w:rsid w:val="00EF7BBA"/>
    <w:rsid w:val="00F01426"/>
    <w:rsid w:val="00F4737E"/>
    <w:rsid w:val="00F64738"/>
    <w:rsid w:val="00FA02A7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27B89"/>
  <w15:docId w15:val="{BB9D318F-C833-46C0-A15A-2F4659C0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47E"/>
  </w:style>
  <w:style w:type="paragraph" w:styleId="Heading1">
    <w:name w:val="heading 1"/>
    <w:basedOn w:val="Normal"/>
    <w:next w:val="Normal"/>
    <w:link w:val="Heading1Char"/>
    <w:uiPriority w:val="9"/>
    <w:qFormat/>
    <w:rsid w:val="00B92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5C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C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CD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92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9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67"/>
  </w:style>
  <w:style w:type="paragraph" w:styleId="Footer">
    <w:name w:val="footer"/>
    <w:basedOn w:val="Normal"/>
    <w:link w:val="FooterChar"/>
    <w:uiPriority w:val="99"/>
    <w:unhideWhenUsed/>
    <w:rsid w:val="00363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67"/>
  </w:style>
  <w:style w:type="character" w:customStyle="1" w:styleId="DocID">
    <w:name w:val="DocID"/>
    <w:basedOn w:val="DefaultParagraphFont"/>
    <w:rsid w:val="00363467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0"/>
      <w:u w:val="none"/>
    </w:rPr>
  </w:style>
  <w:style w:type="paragraph" w:styleId="ListBullet">
    <w:name w:val="List Bullet"/>
    <w:basedOn w:val="Normal"/>
    <w:uiPriority w:val="99"/>
    <w:unhideWhenUsed/>
    <w:rsid w:val="00CB23BA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D44A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22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i&amp;rct=j&amp;q=&amp;esrc=s&amp;source=images&amp;cd=&amp;cad=rja&amp;uact=8&amp;ved=0ahUKEwjs9o_B4dzQAhXL2SYKHbbKBj4QjRwIBw&amp;url=https%3A%2F%2Fwww.linkedin.com%2Fpulse%2Fassonime-pubblica-tre-nuove-circolari-materia-fiscale-marina-brunazzi&amp;psig=AFQjCNF_o1vCbRNRpzwsAImp865eE4ya1g&amp;ust=1481017281310278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be/url?sa=i&amp;rct=j&amp;q=&amp;esrc=s&amp;source=images&amp;cd=&amp;cad=rja&amp;uact=8&amp;ved=0ahUKEwjvtv_24dzQAhUK6yYKHW1RDLoQjRwIBw&amp;url=https://www.dai.de/de/das-bieten-wir/veranstaltungen.html?d%3D94&amp;psig=AFQjCNHc-Y0Fp3mNqB_V0xr7ZaxbRySgBQ&amp;ust=148101739197845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act.e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finance/financial-markets/docs/derivatives/161123-report_en.pdf" TargetMode="External"/><Relationship Id="rId1" Type="http://schemas.openxmlformats.org/officeDocument/2006/relationships/hyperlink" Target="http://ec.europa.eu/finance/securities/docs/isd/mifid/rts/160714-rts-2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B6BB-B604-4434-91D0-644975FE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Ricketts, Donald</dc:creator>
  <cp:lastModifiedBy>Ricketts, Donald</cp:lastModifiedBy>
  <cp:revision>6</cp:revision>
  <cp:lastPrinted>2016-12-05T16:35:00Z</cp:lastPrinted>
  <dcterms:created xsi:type="dcterms:W3CDTF">2016-12-05T14:14:00Z</dcterms:created>
  <dcterms:modified xsi:type="dcterms:W3CDTF">2016-12-05T16:35:00Z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EMIR review - EC non-papers - corporate end-user comments 12-2016_ (002) (steiner comments 12-2-16).docx</vt:lpwstr>
  </property>
</Properties>
</file>